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329D" w14:textId="77777777" w:rsidR="00AD2DEC" w:rsidRPr="00310ED6" w:rsidRDefault="00310ED6" w:rsidP="00AD2DEC">
      <w:pPr>
        <w:jc w:val="right"/>
        <w:rPr>
          <w:rFonts w:ascii="Arial" w:hAnsi="Arial" w:cs="Arial"/>
          <w:b/>
          <w:bCs/>
          <w:color w:val="30393E"/>
        </w:rPr>
      </w:pPr>
      <w:r>
        <w:rPr>
          <w:rFonts w:ascii="Arial" w:hAnsi="Arial" w:cs="Arial"/>
          <w:b/>
          <w:bCs/>
          <w:color w:val="30393E"/>
        </w:rPr>
        <w:softHyphen/>
      </w:r>
    </w:p>
    <w:p w14:paraId="5E4BA001" w14:textId="21325197" w:rsidR="00DE35FC" w:rsidRPr="00310ED6" w:rsidRDefault="00196985" w:rsidP="00AD2DEC">
      <w:pPr>
        <w:rPr>
          <w:rFonts w:ascii="Arial" w:hAnsi="Arial" w:cs="Arial"/>
          <w:b/>
          <w:bCs/>
          <w:color w:val="005371"/>
          <w:sz w:val="48"/>
          <w:szCs w:val="48"/>
        </w:rPr>
      </w:pPr>
      <w:r>
        <w:rPr>
          <w:rFonts w:ascii="Arial" w:hAnsi="Arial" w:cs="Arial"/>
          <w:b/>
          <w:bCs/>
          <w:color w:val="005371"/>
          <w:spacing w:val="-4"/>
          <w:sz w:val="48"/>
          <w:szCs w:val="48"/>
        </w:rPr>
        <w:t xml:space="preserve">VODG Response to CQC </w:t>
      </w:r>
      <w:r w:rsidR="008E4DA4">
        <w:rPr>
          <w:rFonts w:ascii="Arial" w:hAnsi="Arial" w:cs="Arial"/>
          <w:b/>
          <w:bCs/>
          <w:color w:val="005371"/>
          <w:spacing w:val="-4"/>
          <w:sz w:val="48"/>
          <w:szCs w:val="48"/>
        </w:rPr>
        <w:t>“</w:t>
      </w:r>
      <w:r w:rsidR="002A418C">
        <w:rPr>
          <w:rFonts w:ascii="Arial" w:hAnsi="Arial" w:cs="Arial"/>
          <w:b/>
          <w:bCs/>
          <w:color w:val="005371"/>
          <w:spacing w:val="-4"/>
          <w:sz w:val="48"/>
          <w:szCs w:val="48"/>
        </w:rPr>
        <w:t>Consultation on improving</w:t>
      </w:r>
      <w:r w:rsidR="00F90B3E">
        <w:rPr>
          <w:rFonts w:ascii="Arial" w:hAnsi="Arial" w:cs="Arial"/>
          <w:b/>
          <w:bCs/>
          <w:color w:val="005371"/>
          <w:spacing w:val="-4"/>
          <w:sz w:val="48"/>
          <w:szCs w:val="48"/>
        </w:rPr>
        <w:t xml:space="preserve"> how </w:t>
      </w:r>
      <w:r w:rsidR="002A418C">
        <w:rPr>
          <w:rFonts w:ascii="Arial" w:hAnsi="Arial" w:cs="Arial"/>
          <w:b/>
          <w:bCs/>
          <w:color w:val="005371"/>
          <w:spacing w:val="-4"/>
          <w:sz w:val="48"/>
          <w:szCs w:val="48"/>
        </w:rPr>
        <w:t>we a</w:t>
      </w:r>
      <w:r w:rsidR="00F90B3E">
        <w:rPr>
          <w:rFonts w:ascii="Arial" w:hAnsi="Arial" w:cs="Arial"/>
          <w:b/>
          <w:bCs/>
          <w:color w:val="005371"/>
          <w:spacing w:val="-4"/>
          <w:sz w:val="48"/>
          <w:szCs w:val="48"/>
        </w:rPr>
        <w:t xml:space="preserve">ssess and </w:t>
      </w:r>
      <w:r w:rsidR="002A418C">
        <w:rPr>
          <w:rFonts w:ascii="Arial" w:hAnsi="Arial" w:cs="Arial"/>
          <w:b/>
          <w:bCs/>
          <w:color w:val="005371"/>
          <w:spacing w:val="-4"/>
          <w:sz w:val="48"/>
          <w:szCs w:val="48"/>
        </w:rPr>
        <w:t>r</w:t>
      </w:r>
      <w:r w:rsidR="00F90B3E">
        <w:rPr>
          <w:rFonts w:ascii="Arial" w:hAnsi="Arial" w:cs="Arial"/>
          <w:b/>
          <w:bCs/>
          <w:color w:val="005371"/>
          <w:spacing w:val="-4"/>
          <w:sz w:val="48"/>
          <w:szCs w:val="48"/>
        </w:rPr>
        <w:t>ate Providers</w:t>
      </w:r>
      <w:r w:rsidR="008E4DA4">
        <w:rPr>
          <w:rFonts w:ascii="Arial" w:hAnsi="Arial" w:cs="Arial"/>
          <w:b/>
          <w:bCs/>
          <w:color w:val="005371"/>
          <w:spacing w:val="-4"/>
          <w:sz w:val="48"/>
          <w:szCs w:val="48"/>
        </w:rPr>
        <w:t>”</w:t>
      </w:r>
      <w:r w:rsidR="006C73D1">
        <w:rPr>
          <w:rFonts w:ascii="Arial" w:hAnsi="Arial" w:cs="Arial"/>
          <w:b/>
          <w:bCs/>
          <w:color w:val="005371"/>
          <w:sz w:val="48"/>
          <w:szCs w:val="48"/>
        </w:rPr>
        <w:t xml:space="preserve"> </w:t>
      </w:r>
      <w:r w:rsidR="00F90B3E">
        <w:rPr>
          <w:rFonts w:ascii="Arial" w:hAnsi="Arial" w:cs="Arial"/>
          <w:b/>
          <w:bCs/>
          <w:color w:val="005371"/>
          <w:sz w:val="48"/>
          <w:szCs w:val="48"/>
        </w:rPr>
        <w:t>December</w:t>
      </w:r>
      <w:r w:rsidR="006C73D1">
        <w:rPr>
          <w:rFonts w:ascii="Arial" w:hAnsi="Arial" w:cs="Arial"/>
          <w:b/>
          <w:bCs/>
          <w:color w:val="005371"/>
          <w:sz w:val="48"/>
          <w:szCs w:val="48"/>
        </w:rPr>
        <w:t xml:space="preserve"> 2025</w:t>
      </w:r>
    </w:p>
    <w:p w14:paraId="164620A8" w14:textId="77777777" w:rsidR="00DA38A0" w:rsidRPr="00310ED6" w:rsidRDefault="004B5963" w:rsidP="00901304">
      <w:pPr>
        <w:spacing w:after="0"/>
        <w:rPr>
          <w:rFonts w:ascii="Arial" w:hAnsi="Arial" w:cs="Arial"/>
          <w:b/>
          <w:bCs/>
          <w:color w:val="30393E"/>
          <w:sz w:val="48"/>
          <w:szCs w:val="48"/>
        </w:rPr>
      </w:pPr>
      <w:r>
        <w:rPr>
          <w:rFonts w:ascii="Arial" w:hAnsi="Arial" w:cs="Arial"/>
          <w:b/>
          <w:bCs/>
          <w:noProof/>
          <w:color w:val="30393E"/>
          <w:sz w:val="48"/>
          <w:szCs w:val="48"/>
        </w:rPr>
        <mc:AlternateContent>
          <mc:Choice Requires="wps">
            <w:drawing>
              <wp:anchor distT="0" distB="0" distL="114300" distR="114300" simplePos="0" relativeHeight="251657216" behindDoc="0" locked="0" layoutInCell="1" allowOverlap="1" wp14:anchorId="3A0A46F2" wp14:editId="46442405">
                <wp:simplePos x="0" y="0"/>
                <wp:positionH relativeFrom="column">
                  <wp:posOffset>0</wp:posOffset>
                </wp:positionH>
                <wp:positionV relativeFrom="paragraph">
                  <wp:posOffset>39692</wp:posOffset>
                </wp:positionV>
                <wp:extent cx="5943600" cy="0"/>
                <wp:effectExtent l="0" t="19050" r="38100" b="3810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47625">
                          <a:solidFill>
                            <a:srgbClr val="C6C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642F8"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" strokecolor="#c6c427" strokeweight="3.75pt">
                <v:stroke joinstyle="miter"/>
              </v:line>
            </w:pict>
          </mc:Fallback>
        </mc:AlternateContent>
      </w:r>
      <w:r w:rsidR="00D00FDA">
        <w:rPr>
          <w:rFonts w:ascii="Arial" w:hAnsi="Arial" w:cs="Arial"/>
          <w:b/>
          <w:bCs/>
          <w:color w:val="30393E"/>
          <w:sz w:val="48"/>
          <w:szCs w:val="48"/>
        </w:rPr>
        <w:softHyphen/>
      </w:r>
    </w:p>
    <w:p w14:paraId="031FA482" w14:textId="5923CD15" w:rsidR="006C73D1" w:rsidRPr="00310ED6" w:rsidRDefault="00904A68" w:rsidP="00CB18A7">
      <w:pPr>
        <w:rPr>
          <w:rFonts w:ascii="Arial" w:hAnsi="Arial" w:cs="Arial"/>
          <w:b/>
          <w:bCs/>
          <w:color w:val="005371"/>
        </w:rPr>
      </w:pPr>
      <w:r>
        <w:rPr>
          <w:rFonts w:ascii="Arial" w:hAnsi="Arial" w:cs="Arial"/>
          <w:b/>
          <w:bCs/>
          <w:color w:val="005371"/>
        </w:rPr>
        <w:t>CQC</w:t>
      </w:r>
      <w:r w:rsidR="006C73D1">
        <w:rPr>
          <w:rFonts w:ascii="Arial" w:hAnsi="Arial" w:cs="Arial"/>
          <w:b/>
          <w:bCs/>
          <w:color w:val="005371"/>
        </w:rPr>
        <w:t xml:space="preserve"> published a consultation</w:t>
      </w:r>
      <w:r w:rsidR="00CB18A7">
        <w:rPr>
          <w:rFonts w:ascii="Arial" w:hAnsi="Arial" w:cs="Arial"/>
          <w:b/>
          <w:bCs/>
          <w:color w:val="005371"/>
        </w:rPr>
        <w:t xml:space="preserve"> on </w:t>
      </w:r>
      <w:r w:rsidR="00026252">
        <w:rPr>
          <w:rFonts w:ascii="Arial" w:hAnsi="Arial" w:cs="Arial"/>
          <w:b/>
          <w:bCs/>
          <w:color w:val="005371"/>
        </w:rPr>
        <w:t>16 October 2025</w:t>
      </w:r>
      <w:r w:rsidR="006C73D1">
        <w:rPr>
          <w:rFonts w:ascii="Arial" w:hAnsi="Arial" w:cs="Arial"/>
          <w:b/>
          <w:bCs/>
          <w:color w:val="005371"/>
        </w:rPr>
        <w:t xml:space="preserve"> seeking views on </w:t>
      </w:r>
      <w:r w:rsidR="00F53D49">
        <w:rPr>
          <w:rFonts w:ascii="Arial" w:hAnsi="Arial" w:cs="Arial"/>
          <w:b/>
          <w:bCs/>
          <w:color w:val="005371"/>
        </w:rPr>
        <w:t>changes to the way they assess and ra</w:t>
      </w:r>
      <w:r w:rsidR="000078E4">
        <w:rPr>
          <w:rFonts w:ascii="Arial" w:hAnsi="Arial" w:cs="Arial"/>
          <w:b/>
          <w:bCs/>
          <w:color w:val="005371"/>
        </w:rPr>
        <w:t>te</w:t>
      </w:r>
      <w:r w:rsidR="00F53D49">
        <w:rPr>
          <w:rFonts w:ascii="Arial" w:hAnsi="Arial" w:cs="Arial"/>
          <w:b/>
          <w:bCs/>
          <w:color w:val="005371"/>
        </w:rPr>
        <w:t xml:space="preserve"> providers in response to several independent reviews</w:t>
      </w:r>
      <w:r w:rsidR="00A354B1">
        <w:rPr>
          <w:rFonts w:ascii="Arial" w:hAnsi="Arial" w:cs="Arial"/>
          <w:b/>
          <w:bCs/>
          <w:color w:val="005371"/>
        </w:rPr>
        <w:t xml:space="preserve"> of the effectiveness of their</w:t>
      </w:r>
      <w:r w:rsidR="000078E4">
        <w:rPr>
          <w:rFonts w:ascii="Arial" w:hAnsi="Arial" w:cs="Arial"/>
          <w:b/>
          <w:bCs/>
          <w:color w:val="005371"/>
        </w:rPr>
        <w:t xml:space="preserve"> frameworks </w:t>
      </w:r>
      <w:r w:rsidR="001F57B6">
        <w:rPr>
          <w:rFonts w:ascii="Arial" w:hAnsi="Arial" w:cs="Arial"/>
          <w:b/>
          <w:bCs/>
          <w:color w:val="005371"/>
        </w:rPr>
        <w:t>since the introduction of the single assessment framework</w:t>
      </w:r>
      <w:r w:rsidR="00026252">
        <w:rPr>
          <w:rFonts w:ascii="Arial" w:hAnsi="Arial" w:cs="Arial"/>
          <w:b/>
          <w:bCs/>
          <w:color w:val="005371"/>
        </w:rPr>
        <w:t>.</w:t>
      </w:r>
    </w:p>
    <w:p w14:paraId="7B157505" w14:textId="6B953563" w:rsidR="00524457" w:rsidRDefault="006C73D1" w:rsidP="00A74A68">
      <w:pPr>
        <w:pStyle w:val="TEXT"/>
      </w:pPr>
      <w:r>
        <w:t>The consultation</w:t>
      </w:r>
      <w:r w:rsidR="002B14D3">
        <w:t xml:space="preserve"> had been </w:t>
      </w:r>
      <w:r w:rsidR="00221851">
        <w:t>stimulated</w:t>
      </w:r>
      <w:r w:rsidR="002B14D3">
        <w:t xml:space="preserve"> by </w:t>
      </w:r>
      <w:r w:rsidR="00B80EDB">
        <w:t>th</w:t>
      </w:r>
      <w:r w:rsidR="00B80EDB" w:rsidRPr="00B80EDB">
        <w:t>e </w:t>
      </w:r>
      <w:hyperlink r:id="rId11" w:history="1">
        <w:r w:rsidR="00B80EDB" w:rsidRPr="00B80EDB">
          <w:rPr>
            <w:rStyle w:val="Hyperlink"/>
          </w:rPr>
          <w:t>independent review from Dr Penny Dash</w:t>
        </w:r>
      </w:hyperlink>
      <w:r w:rsidR="00B80EDB" w:rsidRPr="00B80EDB">
        <w:t> i</w:t>
      </w:r>
      <w:r>
        <w:t>n</w:t>
      </w:r>
      <w:r w:rsidR="00B80EDB">
        <w:t xml:space="preserve">to operational effectiveness, </w:t>
      </w:r>
      <w:r w:rsidR="00524457">
        <w:t>t</w:t>
      </w:r>
      <w:r w:rsidR="00524457" w:rsidRPr="00524457">
        <w:t>he </w:t>
      </w:r>
      <w:hyperlink r:id="rId12" w:history="1">
        <w:r w:rsidR="00524457" w:rsidRPr="00524457">
          <w:rPr>
            <w:rStyle w:val="Hyperlink"/>
          </w:rPr>
          <w:t>independent review by Professor Sir Mike Richards</w:t>
        </w:r>
      </w:hyperlink>
      <w:r w:rsidR="00524457" w:rsidRPr="00524457">
        <w:t xml:space="preserve"> into the assessment framework and </w:t>
      </w:r>
      <w:r w:rsidR="00524457">
        <w:t xml:space="preserve">the </w:t>
      </w:r>
      <w:r w:rsidR="00A74A68">
        <w:t>Care Provider Alliance (CPA)</w:t>
      </w:r>
      <w:r w:rsidR="00A74A68" w:rsidRPr="00A74A68">
        <w:t> </w:t>
      </w:r>
      <w:hyperlink r:id="rId13" w:history="1">
        <w:r w:rsidR="00A74A68" w:rsidRPr="00A74A68">
          <w:rPr>
            <w:rStyle w:val="Hyperlink"/>
          </w:rPr>
          <w:t xml:space="preserve">review of </w:t>
        </w:r>
        <w:r w:rsidR="00A74A68">
          <w:rPr>
            <w:rStyle w:val="Hyperlink"/>
          </w:rPr>
          <w:t>the</w:t>
        </w:r>
        <w:r w:rsidR="00A74A68" w:rsidRPr="00A74A68">
          <w:rPr>
            <w:rStyle w:val="Hyperlink"/>
          </w:rPr>
          <w:t xml:space="preserve"> single assessment framework</w:t>
        </w:r>
      </w:hyperlink>
      <w:r w:rsidR="00A74A68" w:rsidRPr="00A74A68">
        <w:t> </w:t>
      </w:r>
      <w:r w:rsidR="00A74A68">
        <w:t>to which VODG contributed.</w:t>
      </w:r>
    </w:p>
    <w:p w14:paraId="62FE8341" w14:textId="6894C0A4" w:rsidR="006C73D1" w:rsidRDefault="00041488" w:rsidP="00524457">
      <w:pPr>
        <w:pStyle w:val="TEXT"/>
      </w:pPr>
      <w:r>
        <w:t>The full consultation and</w:t>
      </w:r>
      <w:r w:rsidR="006C73D1">
        <w:t xml:space="preserve"> questions </w:t>
      </w:r>
      <w:r w:rsidR="007A4431">
        <w:t>were published</w:t>
      </w:r>
      <w:r w:rsidR="006C73D1">
        <w:t xml:space="preserve"> </w:t>
      </w:r>
      <w:hyperlink r:id="rId14" w:history="1">
        <w:r w:rsidR="006C73D1" w:rsidRPr="00E6236E">
          <w:rPr>
            <w:rStyle w:val="Hyperlink"/>
          </w:rPr>
          <w:t>onlin</w:t>
        </w:r>
        <w:r w:rsidR="009208BE">
          <w:rPr>
            <w:rStyle w:val="Hyperlink"/>
          </w:rPr>
          <w:t>e</w:t>
        </w:r>
        <w:r w:rsidR="009208BE">
          <w:rPr>
            <w:rStyle w:val="Hyperlink"/>
          </w:rPr>
          <w:t xml:space="preserve"> </w:t>
        </w:r>
        <w:r w:rsidR="009208BE">
          <w:rPr>
            <w:rStyle w:val="Hyperlink"/>
          </w:rPr>
          <w:t>her</w:t>
        </w:r>
        <w:r w:rsidR="006C73D1" w:rsidRPr="00E6236E">
          <w:rPr>
            <w:rStyle w:val="Hyperlink"/>
          </w:rPr>
          <w:t>e</w:t>
        </w:r>
      </w:hyperlink>
      <w:r w:rsidR="006C73D1">
        <w:t xml:space="preserve">. </w:t>
      </w:r>
    </w:p>
    <w:p w14:paraId="1D5A5DD6" w14:textId="51446921" w:rsidR="00A15CEE" w:rsidRPr="00D84E4E" w:rsidRDefault="00BC1AFA">
      <w:pPr>
        <w:rPr>
          <w:rFonts w:ascii="Arial" w:hAnsi="Arial" w:cs="Arial"/>
          <w:b/>
          <w:bCs/>
          <w:color w:val="005371"/>
        </w:rPr>
      </w:pPr>
      <w:r w:rsidRPr="00D84E4E">
        <w:rPr>
          <w:rFonts w:ascii="Arial" w:hAnsi="Arial" w:cs="Arial"/>
          <w:b/>
          <w:bCs/>
          <w:color w:val="005371"/>
        </w:rPr>
        <w:t>Consultation Question 1</w:t>
      </w:r>
    </w:p>
    <w:p w14:paraId="5BCEA51D" w14:textId="77777777" w:rsidR="00A85C84" w:rsidRDefault="00A85C84" w:rsidP="00CB7499">
      <w:r w:rsidRPr="008825EC">
        <w:t>To what extent do you agree that we should publish clear rating characteristics of what care looks like for each rating as part of our new assessment frameworks?</w:t>
      </w:r>
    </w:p>
    <w:p w14:paraId="628F81D4" w14:textId="77777777" w:rsidR="00103E1F" w:rsidRDefault="00A85C84" w:rsidP="00CB7499">
      <w:r w:rsidRPr="00E5014C">
        <w:rPr>
          <w:rFonts w:ascii="Arial" w:hAnsi="Arial" w:cs="Arial"/>
          <w:b/>
          <w:bCs/>
          <w:color w:val="C6C427"/>
        </w:rPr>
        <w:t>VODG Response</w:t>
      </w:r>
      <w:r w:rsidR="00103E1F" w:rsidRPr="00E5014C">
        <w:rPr>
          <w:rFonts w:ascii="Arial" w:hAnsi="Arial" w:cs="Arial"/>
          <w:b/>
          <w:bCs/>
          <w:color w:val="C6C427"/>
        </w:rPr>
        <w:t>:</w:t>
      </w:r>
      <w:r w:rsidR="00103E1F">
        <w:t xml:space="preserve"> STRONGLY AGREE</w:t>
      </w:r>
    </w:p>
    <w:p w14:paraId="3839819C" w14:textId="112E09F4" w:rsidR="00103E1F" w:rsidRPr="00D84E4E" w:rsidRDefault="00103E1F" w:rsidP="00CB7499">
      <w:pPr>
        <w:rPr>
          <w:rFonts w:ascii="Arial" w:hAnsi="Arial" w:cs="Arial"/>
          <w:b/>
          <w:bCs/>
          <w:color w:val="005371"/>
        </w:rPr>
      </w:pPr>
      <w:r w:rsidRPr="00D84E4E">
        <w:rPr>
          <w:rFonts w:ascii="Arial" w:hAnsi="Arial" w:cs="Arial"/>
          <w:b/>
          <w:bCs/>
          <w:color w:val="005371"/>
        </w:rPr>
        <w:t>Consultation Question 2</w:t>
      </w:r>
    </w:p>
    <w:p w14:paraId="1A506353" w14:textId="77777777" w:rsidR="000C48AA" w:rsidRDefault="000C48AA" w:rsidP="00CB7499">
      <w:r w:rsidRPr="008825EC">
        <w:t>To what extent do you agree with our proposed approach to developing assessment frameworks that are specific to each sector?</w:t>
      </w:r>
    </w:p>
    <w:p w14:paraId="6BCD8A86" w14:textId="77777777" w:rsidR="000C48AA" w:rsidRDefault="000C48AA" w:rsidP="000C48AA">
      <w:r w:rsidRPr="00E5014C">
        <w:rPr>
          <w:rFonts w:ascii="Arial" w:hAnsi="Arial" w:cs="Arial"/>
          <w:b/>
          <w:bCs/>
          <w:color w:val="C6C427"/>
        </w:rPr>
        <w:t>VODG Response:</w:t>
      </w:r>
      <w:r>
        <w:t xml:space="preserve"> STRONGLY AGREE</w:t>
      </w:r>
    </w:p>
    <w:p w14:paraId="17CFC599" w14:textId="01AD3181" w:rsidR="00D453CE" w:rsidRPr="00D84E4E" w:rsidRDefault="00D453CE" w:rsidP="00D453CE">
      <w:pPr>
        <w:rPr>
          <w:rFonts w:ascii="Arial" w:hAnsi="Arial" w:cs="Arial"/>
          <w:b/>
          <w:bCs/>
          <w:color w:val="005371"/>
        </w:rPr>
      </w:pPr>
      <w:r w:rsidRPr="00D84E4E">
        <w:rPr>
          <w:rFonts w:ascii="Arial" w:hAnsi="Arial" w:cs="Arial"/>
          <w:b/>
          <w:bCs/>
          <w:color w:val="005371"/>
        </w:rPr>
        <w:t>Consultation Question 2a</w:t>
      </w:r>
    </w:p>
    <w:p w14:paraId="48879CE8" w14:textId="77777777" w:rsidR="00D57E65" w:rsidRDefault="00D57E65" w:rsidP="00CB7499">
      <w:r w:rsidRPr="008825EC">
        <w:t>Do you have any comments or suggestions on how we should develop the sector-specific assessment frameworks?</w:t>
      </w:r>
    </w:p>
    <w:p w14:paraId="5DA929AF" w14:textId="41648679" w:rsidR="00D453CE" w:rsidRPr="00E5014C" w:rsidRDefault="000C48AA" w:rsidP="00CB7499">
      <w:pPr>
        <w:rPr>
          <w:rFonts w:ascii="Arial" w:hAnsi="Arial" w:cs="Arial"/>
          <w:b/>
          <w:bCs/>
          <w:color w:val="C6C427"/>
        </w:rPr>
      </w:pPr>
      <w:r w:rsidRPr="00E5014C">
        <w:rPr>
          <w:rFonts w:ascii="Arial" w:hAnsi="Arial" w:cs="Arial"/>
          <w:b/>
          <w:bCs/>
          <w:color w:val="C6C427"/>
        </w:rPr>
        <w:t>VODG R</w:t>
      </w:r>
      <w:r w:rsidR="00D453CE" w:rsidRPr="00E5014C">
        <w:rPr>
          <w:rFonts w:ascii="Arial" w:hAnsi="Arial" w:cs="Arial"/>
          <w:b/>
          <w:bCs/>
          <w:color w:val="C6C427"/>
        </w:rPr>
        <w:t>esponse:</w:t>
      </w:r>
    </w:p>
    <w:p w14:paraId="13DBF5B3" w14:textId="77777777" w:rsidR="00B51B3B" w:rsidRDefault="00B51B3B" w:rsidP="00B51B3B">
      <w:r>
        <w:t xml:space="preserve">As providers of services, our members which are all not-for-profit organisations seek to provide sustainable services of the highest possible quality within the resources available.  We welcome regulation as a means of ensuring that those aims are not undermined by competing with organisations that deliver inferior outcomes and the </w:t>
      </w:r>
      <w:r>
        <w:lastRenderedPageBreak/>
        <w:t>external scrutiny of inspection as a means of supporting our members to drive up quality.  Clear ratings characteristics are a tool for achieving that aspiration by distinguishing between good and better and ensuring consistency.</w:t>
      </w:r>
    </w:p>
    <w:p w14:paraId="6C68FA03" w14:textId="77777777" w:rsidR="00B51B3B" w:rsidRDefault="00B51B3B" w:rsidP="00B51B3B">
      <w:r w:rsidRPr="00E67F01">
        <w:t>In reviewing its assessment methodology, the CQC might consider a review</w:t>
      </w:r>
      <w:r>
        <w:t xml:space="preserve"> </w:t>
      </w:r>
      <w:r w:rsidRPr="00E67F01">
        <w:t>of the leadership and governance of social care providers across the</w:t>
      </w:r>
      <w:r>
        <w:t xml:space="preserve"> </w:t>
      </w:r>
      <w:r w:rsidRPr="00E67F01">
        <w:t>organisation, rather than just at the level of an individual registration.</w:t>
      </w:r>
      <w:r>
        <w:t xml:space="preserve"> </w:t>
      </w:r>
      <w:r w:rsidRPr="00E67F01">
        <w:t>This might make it easier to identify the risk of providers compromising quality</w:t>
      </w:r>
      <w:r>
        <w:t xml:space="preserve"> </w:t>
      </w:r>
      <w:r w:rsidRPr="00E67F01">
        <w:t>and distinguish group</w:t>
      </w:r>
      <w:r>
        <w:t>s</w:t>
      </w:r>
      <w:r w:rsidRPr="00E67F01">
        <w:t xml:space="preserve"> </w:t>
      </w:r>
      <w:r>
        <w:t>of</w:t>
      </w:r>
      <w:r w:rsidRPr="00E67F01">
        <w:t xml:space="preserve"> organisations that continue to prioritise</w:t>
      </w:r>
      <w:r>
        <w:t xml:space="preserve"> </w:t>
      </w:r>
      <w:r w:rsidRPr="00E67F01">
        <w:t>quality despite the financial context we all face</w:t>
      </w:r>
      <w:r>
        <w:t>.</w:t>
      </w:r>
    </w:p>
    <w:p w14:paraId="1839AEB5" w14:textId="77777777" w:rsidR="00EC4295" w:rsidRDefault="00EC4295" w:rsidP="00EC4295">
      <w:r>
        <w:t xml:space="preserve">We strongly support the return of sector-specific inspection.  The accuracy of judgements as well as the credibility of inspectors depend upon a good understanding of the services under inspection.  Our members are frustrated when judged by inspectors who show very little understanding of the ethos, purpose and practice reality of delivering services they are inspecting. </w:t>
      </w:r>
    </w:p>
    <w:p w14:paraId="77F02241" w14:textId="7EDF65D3" w:rsidR="00EC4295" w:rsidRDefault="00EC4295" w:rsidP="00EC4295">
      <w:pPr>
        <w:rPr>
          <w:rFonts w:ascii="Arial" w:eastAsia="Times New Roman" w:hAnsi="Arial" w:cs="Arial"/>
          <w:color w:val="212121"/>
          <w:lang w:eastAsia="en-GB"/>
        </w:rPr>
      </w:pPr>
      <w:r>
        <w:t xml:space="preserve">The importance of having sector specific frameworks is evidenced through the </w:t>
      </w:r>
      <w:r w:rsidRPr="003174D9">
        <w:rPr>
          <w:rFonts w:ascii="Arial" w:eastAsia="Times New Roman" w:hAnsi="Arial" w:cs="Arial"/>
          <w:color w:val="212121"/>
          <w:lang w:eastAsia="en-GB"/>
        </w:rPr>
        <w:t>statutory guidance contained in Right Support, Right Care</w:t>
      </w:r>
      <w:r>
        <w:rPr>
          <w:rFonts w:ascii="Arial" w:eastAsia="Times New Roman" w:hAnsi="Arial" w:cs="Arial"/>
          <w:color w:val="212121"/>
          <w:lang w:eastAsia="en-GB"/>
        </w:rPr>
        <w:t>,</w:t>
      </w:r>
      <w:r w:rsidRPr="003174D9">
        <w:rPr>
          <w:rFonts w:ascii="Arial" w:eastAsia="Times New Roman" w:hAnsi="Arial" w:cs="Arial"/>
          <w:color w:val="212121"/>
          <w:lang w:eastAsia="en-GB"/>
        </w:rPr>
        <w:t xml:space="preserve"> Right Culture (RSRCRC)</w:t>
      </w:r>
      <w:r>
        <w:rPr>
          <w:rFonts w:ascii="Arial" w:eastAsia="Times New Roman" w:hAnsi="Arial" w:cs="Arial"/>
          <w:color w:val="212121"/>
          <w:lang w:eastAsia="en-GB"/>
        </w:rPr>
        <w:t>. For too long there have been negative assumptions about certain types of collective services for people with a learning disability and/or autism. This approach did not achieve parity with other forms of social care provided to people. The guidance negatively labelled some forms of services and prevented a holistic inspection judgement being formed that was grounded in the needs, wishes and experiences of those using the services. We have been pleased to work with CQC in recent months to propose how to remove the negative assumptions about certain types of services and look forward to this being fully concluded.</w:t>
      </w:r>
    </w:p>
    <w:p w14:paraId="00722EDD" w14:textId="40153B43" w:rsidR="00A3149F" w:rsidRDefault="00A3149F" w:rsidP="00EC4295">
      <w:r>
        <w:t>We strongly encourage you to co-produce the frameworks with organisations currently operating on the sector.  It is important that the frameworks reflect an understanding of providing the services not just the ease of inspection and judgement.  The frameworks should also be concise.</w:t>
      </w:r>
    </w:p>
    <w:p w14:paraId="232666FC" w14:textId="551DF84F" w:rsidR="00A46057" w:rsidRPr="00D84E4E" w:rsidRDefault="00A46057" w:rsidP="00A46057">
      <w:pPr>
        <w:rPr>
          <w:rFonts w:ascii="Arial" w:hAnsi="Arial" w:cs="Arial"/>
          <w:b/>
          <w:bCs/>
          <w:color w:val="005371"/>
        </w:rPr>
      </w:pPr>
      <w:r w:rsidRPr="00D84E4E">
        <w:rPr>
          <w:rFonts w:ascii="Arial" w:hAnsi="Arial" w:cs="Arial"/>
          <w:b/>
          <w:bCs/>
          <w:color w:val="005371"/>
        </w:rPr>
        <w:t xml:space="preserve">Consultation Question </w:t>
      </w:r>
      <w:r>
        <w:rPr>
          <w:rFonts w:ascii="Arial" w:hAnsi="Arial" w:cs="Arial"/>
          <w:b/>
          <w:bCs/>
          <w:color w:val="005371"/>
        </w:rPr>
        <w:t>3</w:t>
      </w:r>
    </w:p>
    <w:p w14:paraId="54D2E1B4" w14:textId="77777777" w:rsidR="00B61010" w:rsidRDefault="00B61010" w:rsidP="00A46057">
      <w:r w:rsidRPr="00C43D32">
        <w:t>To what extent do you agree with our proposed approach to making our assessment frameworks clearer and removing areas of potential duplication?</w:t>
      </w:r>
    </w:p>
    <w:p w14:paraId="2CAFE2C2" w14:textId="22EE214B" w:rsidR="00E5014C" w:rsidRDefault="00E5014C" w:rsidP="00E5014C">
      <w:r w:rsidRPr="00E5014C">
        <w:rPr>
          <w:rFonts w:ascii="Arial" w:hAnsi="Arial" w:cs="Arial"/>
          <w:b/>
          <w:bCs/>
          <w:color w:val="C6C427"/>
        </w:rPr>
        <w:t>VODG Response:</w:t>
      </w:r>
      <w:r>
        <w:t xml:space="preserve"> AGREE</w:t>
      </w:r>
    </w:p>
    <w:p w14:paraId="633F43BD" w14:textId="57B272FF" w:rsidR="000B3511" w:rsidRPr="00D84E4E" w:rsidRDefault="000B3511" w:rsidP="000B3511">
      <w:pPr>
        <w:rPr>
          <w:rFonts w:ascii="Arial" w:hAnsi="Arial" w:cs="Arial"/>
          <w:b/>
          <w:bCs/>
          <w:color w:val="005371"/>
        </w:rPr>
      </w:pPr>
      <w:r w:rsidRPr="00D84E4E">
        <w:rPr>
          <w:rFonts w:ascii="Arial" w:hAnsi="Arial" w:cs="Arial"/>
          <w:b/>
          <w:bCs/>
          <w:color w:val="005371"/>
        </w:rPr>
        <w:t xml:space="preserve">Consultation Question </w:t>
      </w:r>
      <w:r>
        <w:rPr>
          <w:rFonts w:ascii="Arial" w:hAnsi="Arial" w:cs="Arial"/>
          <w:b/>
          <w:bCs/>
          <w:color w:val="005371"/>
        </w:rPr>
        <w:t>3a</w:t>
      </w:r>
    </w:p>
    <w:p w14:paraId="11D1CE2B" w14:textId="70EBEFD1" w:rsidR="00B51B3B" w:rsidRDefault="007F1275" w:rsidP="00B51B3B">
      <w:r w:rsidRPr="00C43D32">
        <w:t>Do you have any comments on the content of our current single assessment framework, or suggestions for how we should make our assessment frameworks simpler and clearer?</w:t>
      </w:r>
    </w:p>
    <w:p w14:paraId="64046C73" w14:textId="076C7218" w:rsidR="007F1275" w:rsidRPr="00E5014C" w:rsidRDefault="007F1275" w:rsidP="00B51B3B">
      <w:pPr>
        <w:rPr>
          <w:rFonts w:ascii="Arial" w:hAnsi="Arial" w:cs="Arial"/>
          <w:b/>
          <w:bCs/>
          <w:color w:val="C6C427"/>
        </w:rPr>
      </w:pPr>
      <w:r w:rsidRPr="00E5014C">
        <w:rPr>
          <w:rFonts w:ascii="Arial" w:hAnsi="Arial" w:cs="Arial"/>
          <w:b/>
          <w:bCs/>
          <w:color w:val="C6C427"/>
        </w:rPr>
        <w:lastRenderedPageBreak/>
        <w:t>VODG Response:</w:t>
      </w:r>
    </w:p>
    <w:p w14:paraId="4D90A112" w14:textId="77777777" w:rsidR="00E166DA" w:rsidRDefault="00E166DA" w:rsidP="00E166DA">
      <w:r>
        <w:t>We welcome the proposal.  We agree that the language should be easy to understand for everyone who uses them.  This includes not only providers’ nominated individuals and registered managers but also the staff involved in direct delivery of services, the inspectors themselves, commissioners of services and the people we support and their networks.  In 2025, English is not the first language of many of those individuals, and some depend on easy read or at least plain English to ensure that the intentions and expectations are clear.  The frameworks should be free of jargon and make sense to people from social care as well as health backgrounds and to people without a background in care systems.  Some of the services CQC inspect are delivered by people with a great deal of skill and expertise in providing good quality care and support whose expertise is not so great at describing and evidencing those strengths to your inspectors.  It is important that CQC staff can recognise good and bad practice without putting the onus on providers to set it out for you.  85% of social care providers are SMEs without large infrastructures of quality assessment staff.  CQC materials must make sense to this majority of providers.  Our members seek greater consistency, and a clear understanding of what staff are inspecting.</w:t>
      </w:r>
    </w:p>
    <w:p w14:paraId="4080009D" w14:textId="77777777" w:rsidR="00E166DA" w:rsidRDefault="00E166DA" w:rsidP="00E166DA">
      <w:r>
        <w:t xml:space="preserve">In reviewing duplication, we ask CQC to do more in how it works with other regulators both to avoid unnecessary duplication but also in the judicious use of collective statutory powers. The links within and between, for example, Ofsted are important to many of our members, and an important step forward for CQC and others is to work towards best endeavours in integrating approaches between regulators. </w:t>
      </w:r>
    </w:p>
    <w:p w14:paraId="2299F583" w14:textId="13FAF8C2" w:rsidR="007F1275" w:rsidRDefault="00F561F4" w:rsidP="00B51B3B">
      <w:r>
        <w:t>As members of the Care Provider Alliance, we have contributed to your review of the SAF.  We support the recommendations of those reports.  We seek a greater focus on the priorities of social care, de-duplication of the existing questions, a focus on the things which matter to the people we support, clarity over what is being inspected and a renewed focus on supporting providers to deliver good services and improve.  Our members are concerned about the backlog of inspections and consequent prevalence of competitors who have never been inspected, including reincarnations of organisations with adverse previous findings.  This is exacerbated by the delay in publication of reports after inspections and the extent to which reports differ from feedback at the time of inspection.  Some members are concerned that the long intervals between inspections mean that disputed findings remain on record without the opportunity for an updated opinion and similarly that recognising and building upon improvement in services is obstructed when the official record reflects only a historical position.</w:t>
      </w:r>
    </w:p>
    <w:p w14:paraId="3C4169FE" w14:textId="77777777" w:rsidR="007A1F57" w:rsidRDefault="007A1F57" w:rsidP="00B51B3B">
      <w:pPr>
        <w:rPr>
          <w:rFonts w:ascii="Arial" w:hAnsi="Arial" w:cs="Arial"/>
          <w:b/>
          <w:bCs/>
          <w:color w:val="005371"/>
        </w:rPr>
      </w:pPr>
    </w:p>
    <w:p w14:paraId="142D8D92" w14:textId="0A3C0967" w:rsidR="00F561F4" w:rsidRPr="007F1275" w:rsidRDefault="00231546" w:rsidP="00B51B3B">
      <w:r w:rsidRPr="00D84E4E">
        <w:rPr>
          <w:rFonts w:ascii="Arial" w:hAnsi="Arial" w:cs="Arial"/>
          <w:b/>
          <w:bCs/>
          <w:color w:val="005371"/>
        </w:rPr>
        <w:lastRenderedPageBreak/>
        <w:t xml:space="preserve">Consultation Question </w:t>
      </w:r>
      <w:r>
        <w:rPr>
          <w:rFonts w:ascii="Arial" w:hAnsi="Arial" w:cs="Arial"/>
          <w:b/>
          <w:bCs/>
          <w:color w:val="005371"/>
        </w:rPr>
        <w:t>4</w:t>
      </w:r>
    </w:p>
    <w:p w14:paraId="5DACDBBE" w14:textId="5A3C700B" w:rsidR="00B51B3B" w:rsidRDefault="00C107C4" w:rsidP="00B51B3B">
      <w:r w:rsidRPr="00A6528F">
        <w:t>To what extent do you agree that we should award ratings directly at key question level with reference to rating characteristics?</w:t>
      </w:r>
    </w:p>
    <w:p w14:paraId="5E9F28E5" w14:textId="0DF05718" w:rsidR="00C107C4" w:rsidRDefault="00C107C4" w:rsidP="00B51B3B">
      <w:r w:rsidRPr="00537970">
        <w:rPr>
          <w:rFonts w:ascii="Arial" w:hAnsi="Arial" w:cs="Arial"/>
          <w:b/>
          <w:bCs/>
          <w:color w:val="C6C427"/>
        </w:rPr>
        <w:t>VODG Response:</w:t>
      </w:r>
      <w:r>
        <w:t xml:space="preserve"> STRONGLY AGREE</w:t>
      </w:r>
    </w:p>
    <w:p w14:paraId="47473F6F" w14:textId="2B139733" w:rsidR="00C107C4" w:rsidRPr="007F1275" w:rsidRDefault="00C107C4" w:rsidP="00C107C4">
      <w:r w:rsidRPr="00D84E4E">
        <w:rPr>
          <w:rFonts w:ascii="Arial" w:hAnsi="Arial" w:cs="Arial"/>
          <w:b/>
          <w:bCs/>
          <w:color w:val="005371"/>
        </w:rPr>
        <w:t xml:space="preserve">Consultation Question </w:t>
      </w:r>
      <w:r>
        <w:rPr>
          <w:rFonts w:ascii="Arial" w:hAnsi="Arial" w:cs="Arial"/>
          <w:b/>
          <w:bCs/>
          <w:color w:val="005371"/>
        </w:rPr>
        <w:t>4a</w:t>
      </w:r>
    </w:p>
    <w:p w14:paraId="1F221778" w14:textId="77777777" w:rsidR="001932CB" w:rsidRDefault="001932CB" w:rsidP="001932CB">
      <w:r w:rsidRPr="00A6528F">
        <w:t>Do you have any comments or suggestions on our proposed approach to awarding ratings?</w:t>
      </w:r>
    </w:p>
    <w:p w14:paraId="64060F00" w14:textId="24175E0A" w:rsidR="00C107C4" w:rsidRPr="00537970" w:rsidRDefault="001932CB" w:rsidP="00B51B3B">
      <w:pPr>
        <w:rPr>
          <w:rFonts w:ascii="Arial" w:hAnsi="Arial" w:cs="Arial"/>
          <w:b/>
          <w:bCs/>
          <w:color w:val="C6C427"/>
        </w:rPr>
      </w:pPr>
      <w:r w:rsidRPr="00537970">
        <w:rPr>
          <w:rFonts w:ascii="Arial" w:hAnsi="Arial" w:cs="Arial"/>
          <w:b/>
          <w:bCs/>
          <w:color w:val="C6C427"/>
        </w:rPr>
        <w:t>VODG Response:</w:t>
      </w:r>
    </w:p>
    <w:p w14:paraId="63C96FC7" w14:textId="77777777" w:rsidR="00BA37E1" w:rsidRDefault="00BA37E1" w:rsidP="00BA37E1">
      <w:r>
        <w:t>We welcome the move away from crude scoring-based judgements.  Whilst we fully support evidence-based findings, weighted for significance and impact, we have greater faith in the informed professional judgement of a good inspector than the inflexible mathematically determined formula created by administrators who have not visited the service.  We agree that the system to be replaced was too complex, inaccurate and damaging.  We urge CQC to review the impact of historical judgements which remain on your website including those which are the most recent judgement of some services that may be frustrated by your lack of capacity to re-inspect.</w:t>
      </w:r>
    </w:p>
    <w:p w14:paraId="4710F03C" w14:textId="41D20EA4" w:rsidR="001932CB" w:rsidRDefault="00BA37E1" w:rsidP="00BA37E1">
      <w:r>
        <w:t>We support the proposal to award ratings at key question level with reference to the rating characteristics but recognise the importance of those ratings characteristics being clear, concise, unambiguous, in plain English and relevant to the type of service being judged.</w:t>
      </w:r>
    </w:p>
    <w:p w14:paraId="20F10998" w14:textId="77777777" w:rsidR="007C32A0" w:rsidRDefault="007C32A0" w:rsidP="007C32A0">
      <w:r>
        <w:t>We cannot fully agree with the assertion in your consultation that “</w:t>
      </w:r>
      <w:r w:rsidRPr="00EF11F9">
        <w:t>Ratings are based on the judgements of experienced, expert inspectors about whether services are safe, effective, caring, responsive to people’s needs and well-led.</w:t>
      </w:r>
      <w:r>
        <w:t>”  It has been a problem for some of our members that inspections have been carried out by inspectors without expertise in the specialism they are inspecting.  We welcome the return to specialist teams but encourage CQC to go further in this regard.  Your inspections should be conducted by inspectors with specific sub-sector expertise in the type of services under review.  This means, for example, inspectors with experience and knowledge of learning disability services in the most influential roles within inspections of learning disability services.</w:t>
      </w:r>
    </w:p>
    <w:p w14:paraId="5188B076" w14:textId="5A09CCE1" w:rsidR="00BA37E1" w:rsidRDefault="007C32A0" w:rsidP="007C32A0">
      <w:r>
        <w:t xml:space="preserve">As part of the CPA review, we polled our members on their views of single word judgement.  Whilst we recognise that this system is valued by the public, some providers and other partners, the simplicity of that system is also its weakness.  Following tragic events, OFSTED came to recognise the dangers of single word judgements and are moving away from that approach.  The CPA survey found that </w:t>
      </w:r>
      <w:r>
        <w:lastRenderedPageBreak/>
        <w:t>approximately half of respondent providers supported the system and half did not.  We would suggest that the inconclusiveness of that finding is evidence that the system on its own is not effective.  We would encourage CQC to support its use of ratings with more nuanced descriptions of its findings in clear concise language that makes sense to people using services or considering doing so.</w:t>
      </w:r>
    </w:p>
    <w:p w14:paraId="02C94024" w14:textId="2A50259E" w:rsidR="007C32A0" w:rsidRPr="007F1275" w:rsidRDefault="007C32A0" w:rsidP="007C32A0">
      <w:r w:rsidRPr="00D84E4E">
        <w:rPr>
          <w:rFonts w:ascii="Arial" w:hAnsi="Arial" w:cs="Arial"/>
          <w:b/>
          <w:bCs/>
          <w:color w:val="005371"/>
        </w:rPr>
        <w:t xml:space="preserve">Consultation Question </w:t>
      </w:r>
      <w:r>
        <w:rPr>
          <w:rFonts w:ascii="Arial" w:hAnsi="Arial" w:cs="Arial"/>
          <w:b/>
          <w:bCs/>
          <w:color w:val="005371"/>
        </w:rPr>
        <w:t>5</w:t>
      </w:r>
    </w:p>
    <w:p w14:paraId="76549C22" w14:textId="77777777" w:rsidR="007220E5" w:rsidRDefault="007220E5" w:rsidP="007220E5">
      <w:r w:rsidRPr="00A6528F">
        <w:t>Do you have any comments or suggestions for how we should support our inspection teams to deliver expert inspections, impactful reports and strong relationships with providers?</w:t>
      </w:r>
    </w:p>
    <w:p w14:paraId="66E1DB00" w14:textId="53EA4B13" w:rsidR="007C32A0" w:rsidRPr="00537970" w:rsidRDefault="007220E5" w:rsidP="007C32A0">
      <w:pPr>
        <w:rPr>
          <w:rFonts w:ascii="Arial" w:hAnsi="Arial" w:cs="Arial"/>
          <w:b/>
          <w:bCs/>
          <w:color w:val="C6C427"/>
        </w:rPr>
      </w:pPr>
      <w:r w:rsidRPr="00537970">
        <w:rPr>
          <w:rFonts w:ascii="Arial" w:hAnsi="Arial" w:cs="Arial"/>
          <w:b/>
          <w:bCs/>
          <w:color w:val="C6C427"/>
        </w:rPr>
        <w:t>VODG Response:</w:t>
      </w:r>
    </w:p>
    <w:p w14:paraId="68CC0B14" w14:textId="77777777" w:rsidR="006B2C04" w:rsidRDefault="006B2C04" w:rsidP="006B2C04">
      <w:r>
        <w:t>We welcome the return to specialist inspection teams under specialist chief inspectors.  We hope to see tangible evidence of your consideration of ‘the impact of your work on the providers that you regulate, including the wellbeing of their staff’.  We encourage CQC to adopt a significant reset to relationships with providers and the development of trust and a joint endeavour to improve regulation and quality. We would welcome the restoration of lead inspector roles and the development of continuing relationships between inspection teams and the providers they inspect.</w:t>
      </w:r>
    </w:p>
    <w:p w14:paraId="76D1F5A0" w14:textId="77777777" w:rsidR="006B2C04" w:rsidRDefault="006B2C04" w:rsidP="006B2C04">
      <w:r>
        <w:t>Associated with this is the need for clear timely communication and consistency of inspection, which comes through training and supervision of your workforce.  There is lots of patchiness across the country which erodes trust, increases frustration and creates a ‘them and us’ climate which is unhelpful.  We share a common goal of ensuring good and better care and support which is more likely to be achieved with mutual respect and honest communication.</w:t>
      </w:r>
    </w:p>
    <w:p w14:paraId="6FC8E286" w14:textId="77777777" w:rsidR="006B2C04" w:rsidRDefault="006B2C04" w:rsidP="006B2C04">
      <w:r>
        <w:t>Our members report lots of challenges in communicating with the Commission.  The ending of lead inspector roles is seen as a significant contributor to these difficulties.  We want a positive mutually respectful relationship between providers and inspectors, and the development of understanding is an important priority.  This requires a cultural change which goes beyond rewriting procedures and forms.</w:t>
      </w:r>
    </w:p>
    <w:p w14:paraId="08A721FF" w14:textId="77777777" w:rsidR="006B2C04" w:rsidRDefault="006B2C04" w:rsidP="006B2C04">
      <w:r>
        <w:t>The proposal to co-design a new approach to inspection reports is welcome.  The existing reports rely heavily upon boilerplate text which sounds like the considered specific opinion of an inspector to readers of reports who do not read lots of inspection reports – those who do recognise them as cut and paste phrases.  The proposals throughout this section of your proposal are positive intentions and we encourage you to co-produce the documents to ensure the intended outcome is achieved and recognised as such by providers.</w:t>
      </w:r>
    </w:p>
    <w:p w14:paraId="0ECFFC19" w14:textId="77777777" w:rsidR="006B2C04" w:rsidRDefault="006B2C04" w:rsidP="006B2C04">
      <w:r>
        <w:lastRenderedPageBreak/>
        <w:t xml:space="preserve">Despite reports by CQC inspectors and managers, our members feel they are not well enough linked into your local authority assessments.  It is immensely frustrating for inspectors to flag concerns which directly arise from restrictive commissioning practices and funding and not to see the same accountability directed at the commissioners who create the situations. We question the extent to which CQC meaningfully outreach to providers when undertaking local authority assessments. For national charities and groups, it is important this is done at both a local and a national level. </w:t>
      </w:r>
    </w:p>
    <w:p w14:paraId="5E2EE8AD" w14:textId="0F55B2F3" w:rsidR="006B2C04" w:rsidRPr="007F1275" w:rsidRDefault="006B2C04" w:rsidP="006B2C04">
      <w:r w:rsidRPr="00D84E4E">
        <w:rPr>
          <w:rFonts w:ascii="Arial" w:hAnsi="Arial" w:cs="Arial"/>
          <w:b/>
          <w:bCs/>
          <w:color w:val="005371"/>
        </w:rPr>
        <w:t xml:space="preserve">Consultation Question </w:t>
      </w:r>
      <w:r>
        <w:rPr>
          <w:rFonts w:ascii="Arial" w:hAnsi="Arial" w:cs="Arial"/>
          <w:b/>
          <w:bCs/>
          <w:color w:val="005371"/>
        </w:rPr>
        <w:t>6</w:t>
      </w:r>
    </w:p>
    <w:p w14:paraId="074078E6" w14:textId="77777777" w:rsidR="00E10694" w:rsidRDefault="00E10694" w:rsidP="00E10694">
      <w:r w:rsidRPr="00A6528F">
        <w:t>To what extent do you agree with the approach to following up assessments and the principles for updating rating judgements?</w:t>
      </w:r>
    </w:p>
    <w:p w14:paraId="4F6ABE62" w14:textId="62802EC7" w:rsidR="00E10694" w:rsidRDefault="00E10694" w:rsidP="00E10694">
      <w:r w:rsidRPr="00537970">
        <w:rPr>
          <w:rFonts w:ascii="Arial" w:hAnsi="Arial" w:cs="Arial"/>
          <w:b/>
          <w:bCs/>
          <w:color w:val="C6C427"/>
        </w:rPr>
        <w:t>VODG Response:</w:t>
      </w:r>
      <w:r>
        <w:t xml:space="preserve"> </w:t>
      </w:r>
      <w:r w:rsidRPr="00E10694">
        <w:t>AGREE</w:t>
      </w:r>
    </w:p>
    <w:p w14:paraId="14D9D73E" w14:textId="18901436" w:rsidR="00DC18D3" w:rsidRPr="007F1275" w:rsidRDefault="00DC18D3" w:rsidP="00DC18D3">
      <w:r w:rsidRPr="00D84E4E">
        <w:rPr>
          <w:rFonts w:ascii="Arial" w:hAnsi="Arial" w:cs="Arial"/>
          <w:b/>
          <w:bCs/>
          <w:color w:val="005371"/>
        </w:rPr>
        <w:t xml:space="preserve">Consultation Question </w:t>
      </w:r>
      <w:r>
        <w:rPr>
          <w:rFonts w:ascii="Arial" w:hAnsi="Arial" w:cs="Arial"/>
          <w:b/>
          <w:bCs/>
          <w:color w:val="005371"/>
        </w:rPr>
        <w:t>6a</w:t>
      </w:r>
    </w:p>
    <w:p w14:paraId="4BEDE2C8" w14:textId="77777777" w:rsidR="00894772" w:rsidRDefault="00894772" w:rsidP="00894772">
      <w:r w:rsidRPr="00A6528F">
        <w:t>Do you have any comments on our proposed approach?</w:t>
      </w:r>
    </w:p>
    <w:p w14:paraId="19710B99" w14:textId="21B9D6E2" w:rsidR="007220E5" w:rsidRPr="00537970" w:rsidRDefault="00894772" w:rsidP="007C32A0">
      <w:pPr>
        <w:rPr>
          <w:rFonts w:ascii="Arial" w:hAnsi="Arial" w:cs="Arial"/>
          <w:b/>
          <w:bCs/>
          <w:color w:val="C6C427"/>
        </w:rPr>
      </w:pPr>
      <w:r w:rsidRPr="00537970">
        <w:rPr>
          <w:rFonts w:ascii="Arial" w:hAnsi="Arial" w:cs="Arial"/>
          <w:b/>
          <w:bCs/>
          <w:color w:val="C6C427"/>
        </w:rPr>
        <w:t>VODG Response:</w:t>
      </w:r>
    </w:p>
    <w:p w14:paraId="34250BE4" w14:textId="77777777" w:rsidR="007F3799" w:rsidRDefault="007F3799" w:rsidP="007F3799">
      <w:r>
        <w:t xml:space="preserve">A return to full regular inspections is to be welcomed.  It remains a concern that new providers can build a business over several years before their first inspection and that ratings on the CQC website reflect inspections of existing services that are long out of date.  </w:t>
      </w:r>
    </w:p>
    <w:p w14:paraId="0C4608EA" w14:textId="77777777" w:rsidR="007F3799" w:rsidRDefault="007F3799" w:rsidP="007F3799">
      <w:r>
        <w:t>Since the Care Standards Act 2000 replaced local authority inspection units with the National Care Standards Commission (later CSCI, then CQC since 2009), the frequency of inspection has reduced from two visits per year (residential) and one (home care) in the 2003 regulations to the current proposed routine “3-5 year cycle”.</w:t>
      </w:r>
    </w:p>
    <w:p w14:paraId="75D0BFBD" w14:textId="77777777" w:rsidR="007F3799" w:rsidRDefault="007F3799" w:rsidP="007F3799">
      <w:r>
        <w:t>Over time there has been a substantial reduction in the frequency of inspection and in particular the opportunity to request reinspection and this reduction has not been reflected in the level of fees charged to providers for the reduced level of service.</w:t>
      </w:r>
    </w:p>
    <w:p w14:paraId="6458A17B" w14:textId="77777777" w:rsidR="007F3799" w:rsidRDefault="007F3799" w:rsidP="007F3799">
      <w:r w:rsidRPr="006751DA">
        <w:t>We have noticed a pattern of increasing local authority audits in recent years. In part</w:t>
      </w:r>
      <w:r>
        <w:t xml:space="preserve"> </w:t>
      </w:r>
      <w:r w:rsidRPr="006751DA">
        <w:t>this could be due the lack of confidence in the regulator, and we could therefore see</w:t>
      </w:r>
      <w:r>
        <w:t xml:space="preserve"> </w:t>
      </w:r>
      <w:r w:rsidRPr="006751DA">
        <w:t>this activity decline as CQC resets. Today however there is long-standing frustration</w:t>
      </w:r>
      <w:r>
        <w:t xml:space="preserve"> </w:t>
      </w:r>
      <w:r w:rsidRPr="006751DA">
        <w:t>about the duplication of activities between CQC and local authority inspection teams.</w:t>
      </w:r>
      <w:r>
        <w:t xml:space="preserve">  </w:t>
      </w:r>
      <w:r w:rsidRPr="006751DA">
        <w:t>We fully understand the duties on both the regulator and public sector</w:t>
      </w:r>
      <w:r>
        <w:t xml:space="preserve"> </w:t>
      </w:r>
      <w:r w:rsidRPr="006751DA">
        <w:t>commissioners, but the duplication is pulling resources away from front line care and</w:t>
      </w:r>
      <w:r>
        <w:t xml:space="preserve"> </w:t>
      </w:r>
      <w:r w:rsidRPr="006751DA">
        <w:t>support.</w:t>
      </w:r>
    </w:p>
    <w:p w14:paraId="145211ED" w14:textId="3737D436" w:rsidR="006B2C04" w:rsidRDefault="007F3799" w:rsidP="007F3799">
      <w:r w:rsidRPr="001F14AA">
        <w:t>It would be helpful for the CQC to lead the process of streamlining and</w:t>
      </w:r>
      <w:r>
        <w:t xml:space="preserve"> </w:t>
      </w:r>
      <w:r w:rsidRPr="001F14AA">
        <w:t>reducing duplication between CQC and local authority assessments. This might</w:t>
      </w:r>
      <w:r>
        <w:t xml:space="preserve"> </w:t>
      </w:r>
      <w:r w:rsidRPr="001F14AA">
        <w:t>include</w:t>
      </w:r>
      <w:r>
        <w:t xml:space="preserve"> (1) </w:t>
      </w:r>
      <w:r>
        <w:lastRenderedPageBreak/>
        <w:t>e</w:t>
      </w:r>
      <w:r w:rsidRPr="001F14AA">
        <w:t>stablishing data sharing processes to enable intelligence to be shared</w:t>
      </w:r>
      <w:r>
        <w:t xml:space="preserve"> </w:t>
      </w:r>
      <w:r w:rsidRPr="001F14AA">
        <w:t>between CQC, local authority and health commissioners, as well as the wider</w:t>
      </w:r>
      <w:r>
        <w:t xml:space="preserve"> </w:t>
      </w:r>
      <w:r w:rsidRPr="001F14AA">
        <w:t>regulators our members are regulated by such as Ofsted and the Charity</w:t>
      </w:r>
      <w:r>
        <w:t xml:space="preserve"> </w:t>
      </w:r>
      <w:r w:rsidRPr="001F14AA">
        <w:t>Commission</w:t>
      </w:r>
      <w:r>
        <w:t xml:space="preserve"> and (2) a</w:t>
      </w:r>
      <w:r w:rsidRPr="001F14AA">
        <w:t>ddressing IT access issues</w:t>
      </w:r>
      <w:r>
        <w:t xml:space="preserve"> within CQC systems</w:t>
      </w:r>
      <w:r w:rsidRPr="001F14AA">
        <w:t>.</w:t>
      </w:r>
    </w:p>
    <w:p w14:paraId="13F0B7F0" w14:textId="77777777" w:rsidR="002B6181" w:rsidRDefault="002B6181" w:rsidP="002B6181">
      <w:r>
        <w:t>We fully agree that new outcome judgements should not be affected by outdated legacy findings from years ago.  We welcome the proposal to return and speak with the registered manager if they are not available on the day of an unannounced inspection and encourage CQC to specify this as a meaningful and time appropriate commitment.</w:t>
      </w:r>
      <w:r w:rsidRPr="0099396A">
        <w:t xml:space="preserve"> </w:t>
      </w:r>
      <w:r w:rsidRPr="00FA1FE8">
        <w:t>There</w:t>
      </w:r>
      <w:r>
        <w:t xml:space="preserve"> i</w:t>
      </w:r>
      <w:r w:rsidRPr="00FA1FE8">
        <w:t xml:space="preserve">s a risk that this </w:t>
      </w:r>
      <w:r>
        <w:t xml:space="preserve">programme of </w:t>
      </w:r>
      <w:r w:rsidRPr="00FA1FE8">
        <w:t>reform continues to slow down urgent action elsewhere</w:t>
      </w:r>
      <w:r>
        <w:t>.</w:t>
      </w:r>
    </w:p>
    <w:p w14:paraId="2E4E77B9" w14:textId="14CD4057" w:rsidR="007F3799" w:rsidRDefault="002B6181" w:rsidP="002B6181">
      <w:r>
        <w:t xml:space="preserve">We ask the Commission to prioritise revisiting services which have been rated “Requires Improvement” for a long time.  Some of these locations </w:t>
      </w:r>
      <w:r w:rsidRPr="00FA1FE8">
        <w:t>have faced significant financial and operational issues</w:t>
      </w:r>
      <w:r>
        <w:t xml:space="preserve"> for far too long</w:t>
      </w:r>
      <w:r w:rsidRPr="00FA1FE8">
        <w:t xml:space="preserve"> because of the CQC’s capacity and distraction elsewher</w:t>
      </w:r>
      <w:r>
        <w:t>e.</w:t>
      </w:r>
      <w:r w:rsidRPr="00FA1FE8">
        <w:t xml:space="preserve"> </w:t>
      </w:r>
      <w:r>
        <w:t>It has also led, in our experience, to local authorities duplicating audits and visits because of a lack of confidence in CQC. We have seen this in services that represent national centres of excellence and will have a pool of nationwide commissioners, not just those from with the authority where the service is based.</w:t>
      </w:r>
    </w:p>
    <w:p w14:paraId="13684566" w14:textId="21416540" w:rsidR="002B6181" w:rsidRPr="007F1275" w:rsidRDefault="002B6181" w:rsidP="002B6181">
      <w:r w:rsidRPr="00D84E4E">
        <w:rPr>
          <w:rFonts w:ascii="Arial" w:hAnsi="Arial" w:cs="Arial"/>
          <w:b/>
          <w:bCs/>
          <w:color w:val="005371"/>
        </w:rPr>
        <w:t xml:space="preserve">Consultation Question </w:t>
      </w:r>
      <w:r>
        <w:rPr>
          <w:rFonts w:ascii="Arial" w:hAnsi="Arial" w:cs="Arial"/>
          <w:b/>
          <w:bCs/>
          <w:color w:val="005371"/>
        </w:rPr>
        <w:t>7a</w:t>
      </w:r>
    </w:p>
    <w:p w14:paraId="5254AE14" w14:textId="75602427" w:rsidR="002B6181" w:rsidRDefault="00F468DC" w:rsidP="002B6181">
      <w:r w:rsidRPr="00A6528F">
        <w:t>To what extent would you support CQC in re-introducing an overall quality rating for NHS trusts and trust-level ratings of all 5 key questions?</w:t>
      </w:r>
    </w:p>
    <w:p w14:paraId="40EE5991" w14:textId="352E60CF" w:rsidR="00F468DC" w:rsidRDefault="00F468DC" w:rsidP="002B6181">
      <w:r w:rsidRPr="00537970">
        <w:rPr>
          <w:rFonts w:ascii="Arial" w:hAnsi="Arial" w:cs="Arial"/>
          <w:b/>
          <w:bCs/>
          <w:color w:val="C6C427"/>
        </w:rPr>
        <w:t>VODG Response:</w:t>
      </w:r>
      <w:r>
        <w:t xml:space="preserve"> I DON’T KNOW</w:t>
      </w:r>
    </w:p>
    <w:p w14:paraId="00665C25" w14:textId="5509CEBE" w:rsidR="00F468DC" w:rsidRPr="007F1275" w:rsidRDefault="00F468DC" w:rsidP="00F468DC">
      <w:r w:rsidRPr="00D84E4E">
        <w:rPr>
          <w:rFonts w:ascii="Arial" w:hAnsi="Arial" w:cs="Arial"/>
          <w:b/>
          <w:bCs/>
          <w:color w:val="005371"/>
        </w:rPr>
        <w:t xml:space="preserve">Consultation Question </w:t>
      </w:r>
      <w:r>
        <w:rPr>
          <w:rFonts w:ascii="Arial" w:hAnsi="Arial" w:cs="Arial"/>
          <w:b/>
          <w:bCs/>
          <w:color w:val="005371"/>
        </w:rPr>
        <w:t>7b</w:t>
      </w:r>
    </w:p>
    <w:p w14:paraId="1D538E05" w14:textId="77777777" w:rsidR="001839C9" w:rsidRDefault="001839C9" w:rsidP="001839C9">
      <w:r w:rsidRPr="00A6528F">
        <w:t>To what extent would you support CQC in no longer aggregating key question ratings to produce an overall rating for an individual hospital location?</w:t>
      </w:r>
    </w:p>
    <w:p w14:paraId="1F13EB73" w14:textId="54CD2C35" w:rsidR="00C107C4" w:rsidRDefault="001839C9" w:rsidP="00B51B3B">
      <w:r w:rsidRPr="00537970">
        <w:rPr>
          <w:rFonts w:ascii="Arial" w:hAnsi="Arial" w:cs="Arial"/>
          <w:b/>
          <w:bCs/>
          <w:color w:val="C6C427"/>
        </w:rPr>
        <w:t>VODG Response:</w:t>
      </w:r>
      <w:r>
        <w:t xml:space="preserve"> PARTLY SUPPORT</w:t>
      </w:r>
    </w:p>
    <w:p w14:paraId="63447692" w14:textId="67E67F9C" w:rsidR="001839C9" w:rsidRPr="007F1275" w:rsidRDefault="001839C9" w:rsidP="001839C9">
      <w:r w:rsidRPr="00D84E4E">
        <w:rPr>
          <w:rFonts w:ascii="Arial" w:hAnsi="Arial" w:cs="Arial"/>
          <w:b/>
          <w:bCs/>
          <w:color w:val="005371"/>
        </w:rPr>
        <w:t xml:space="preserve">Consultation Question </w:t>
      </w:r>
      <w:r>
        <w:rPr>
          <w:rFonts w:ascii="Arial" w:hAnsi="Arial" w:cs="Arial"/>
          <w:b/>
          <w:bCs/>
          <w:color w:val="005371"/>
        </w:rPr>
        <w:t>7c</w:t>
      </w:r>
    </w:p>
    <w:p w14:paraId="6ABE109A" w14:textId="1AA43B9F" w:rsidR="001839C9" w:rsidRPr="001839C9" w:rsidRDefault="00674EEF" w:rsidP="00B51B3B">
      <w:r w:rsidRPr="00A6528F">
        <w:t>Do you have any comments to support your views, or suggestions for how we should award ratings for NHS trusts and independent hospitals?</w:t>
      </w:r>
    </w:p>
    <w:p w14:paraId="2E8C6160" w14:textId="262A81B7" w:rsidR="00B51B3B" w:rsidRDefault="00674EEF" w:rsidP="00B51B3B">
      <w:r>
        <w:rPr>
          <w:b/>
          <w:bCs/>
        </w:rPr>
        <w:t>VODG Response</w:t>
      </w:r>
      <w:r>
        <w:t>:</w:t>
      </w:r>
    </w:p>
    <w:p w14:paraId="066B0420" w14:textId="0B55578A" w:rsidR="00674EEF" w:rsidRDefault="007056E1" w:rsidP="00B51B3B">
      <w:r>
        <w:t xml:space="preserve">We </w:t>
      </w:r>
      <w:r w:rsidR="00016070">
        <w:t>did</w:t>
      </w:r>
      <w:r>
        <w:t xml:space="preserve"> not comment on question 7a as our membership does not include NHS Trusts.</w:t>
      </w:r>
    </w:p>
    <w:p w14:paraId="0EFB2E21" w14:textId="505B59FB" w:rsidR="00FD5FC1" w:rsidRPr="00A6528F" w:rsidRDefault="00FD5FC1" w:rsidP="00FD5FC1">
      <w:r>
        <w:t>Whilst the approach described in this section of the consultation may be appropriate for NHS Trusts and independent general hospitals, small assessment and treatment type hospitals should be inspected and rated on a similar basis to community facilities.</w:t>
      </w:r>
    </w:p>
    <w:p w14:paraId="472CDEE1" w14:textId="77777777" w:rsidR="00C145A9" w:rsidRDefault="00C145A9" w:rsidP="00C145A9">
      <w:r>
        <w:lastRenderedPageBreak/>
        <w:t>Successive government initiatives aimed at reducing the number of people with a learning disability or autism in inappropriate hospital settings have failed to address the recognised problem.  It would be unhelpful to exclude those services from the inspection and rating regimes of community services.</w:t>
      </w:r>
    </w:p>
    <w:p w14:paraId="41616B39" w14:textId="3E99A1F1" w:rsidR="00C145A9" w:rsidRPr="007F1275" w:rsidRDefault="00C145A9" w:rsidP="00C145A9">
      <w:r w:rsidRPr="00D84E4E">
        <w:rPr>
          <w:rFonts w:ascii="Arial" w:hAnsi="Arial" w:cs="Arial"/>
          <w:b/>
          <w:bCs/>
          <w:color w:val="005371"/>
        </w:rPr>
        <w:t xml:space="preserve">Consultation Question </w:t>
      </w:r>
      <w:r>
        <w:rPr>
          <w:rFonts w:ascii="Arial" w:hAnsi="Arial" w:cs="Arial"/>
          <w:b/>
          <w:bCs/>
          <w:color w:val="005371"/>
        </w:rPr>
        <w:t>8</w:t>
      </w:r>
    </w:p>
    <w:p w14:paraId="4DA96301" w14:textId="77777777" w:rsidR="003843BF" w:rsidRPr="00A6528F" w:rsidRDefault="003843BF" w:rsidP="003843BF">
      <w:r w:rsidRPr="00A6528F">
        <w:t>We'd like to hear what you think about the opportunities and risks to improving equality and human rights in our proposals. Do you think our proposals will affect some groups of people more than others (for example, those with a protected equality characteristic such as disabled people, older people, or people from different ethnic backgrounds)?</w:t>
      </w:r>
    </w:p>
    <w:p w14:paraId="7647EE22" w14:textId="77777777" w:rsidR="003843BF" w:rsidRDefault="003843BF" w:rsidP="003843BF">
      <w:r w:rsidRPr="00A6528F">
        <w:t>Please tell us if the impact on people would be positive or negative, and how we could reduce any negative effects.</w:t>
      </w:r>
    </w:p>
    <w:p w14:paraId="6B53930E" w14:textId="002424EC" w:rsidR="003843BF" w:rsidRPr="009B6820" w:rsidRDefault="003843BF" w:rsidP="003843BF">
      <w:pPr>
        <w:rPr>
          <w:rFonts w:ascii="Arial" w:hAnsi="Arial" w:cs="Arial"/>
          <w:b/>
          <w:bCs/>
          <w:color w:val="C6C427"/>
        </w:rPr>
      </w:pPr>
      <w:r w:rsidRPr="009B6820">
        <w:rPr>
          <w:rFonts w:ascii="Arial" w:hAnsi="Arial" w:cs="Arial"/>
          <w:b/>
          <w:bCs/>
          <w:color w:val="C6C427"/>
        </w:rPr>
        <w:t>VODG Response:</w:t>
      </w:r>
    </w:p>
    <w:p w14:paraId="6A3B6B2F" w14:textId="40878736" w:rsidR="00FD5FC1" w:rsidRPr="00674EEF" w:rsidRDefault="003843BF" w:rsidP="003843BF">
      <w:r>
        <w:t>The vast majority of services CQC inspect provide for people with protected characteristics.  Those people require reasonable adjustments to experience the best outcomes from public services and the same applies to the inspectorate.  It is important that CQC staff are skilled in communicating with and understanding the preferred communication styles of the people using these services.  The restoration of specialist inspection teams is an important step in this direction.</w:t>
      </w:r>
    </w:p>
    <w:p w14:paraId="5C06F3BE" w14:textId="1ED68AF4" w:rsidR="003D32AF" w:rsidRPr="007F1275" w:rsidRDefault="003D32AF" w:rsidP="003D32AF">
      <w:r w:rsidRPr="00D84E4E">
        <w:rPr>
          <w:rFonts w:ascii="Arial" w:hAnsi="Arial" w:cs="Arial"/>
          <w:b/>
          <w:bCs/>
          <w:color w:val="005371"/>
        </w:rPr>
        <w:t xml:space="preserve">Consultation Question </w:t>
      </w:r>
      <w:r>
        <w:rPr>
          <w:rFonts w:ascii="Arial" w:hAnsi="Arial" w:cs="Arial"/>
          <w:b/>
          <w:bCs/>
          <w:color w:val="005371"/>
        </w:rPr>
        <w:t>9</w:t>
      </w:r>
    </w:p>
    <w:p w14:paraId="4CD772A7" w14:textId="77777777" w:rsidR="001148B8" w:rsidRDefault="001148B8" w:rsidP="001148B8">
      <w:r w:rsidRPr="00A6528F">
        <w:t>Do you have any other comments on our work, things we should consider, or suggestions for how we could improve?</w:t>
      </w:r>
    </w:p>
    <w:p w14:paraId="0E9740C1" w14:textId="7469E728" w:rsidR="001148B8" w:rsidRPr="009B6820" w:rsidRDefault="001148B8" w:rsidP="001148B8">
      <w:pPr>
        <w:rPr>
          <w:rFonts w:ascii="Arial" w:hAnsi="Arial" w:cs="Arial"/>
          <w:b/>
          <w:bCs/>
          <w:color w:val="C6C427"/>
        </w:rPr>
      </w:pPr>
      <w:r w:rsidRPr="009B6820">
        <w:rPr>
          <w:rFonts w:ascii="Arial" w:hAnsi="Arial" w:cs="Arial"/>
          <w:b/>
          <w:bCs/>
          <w:color w:val="C6C427"/>
        </w:rPr>
        <w:t>VODG Response:</w:t>
      </w:r>
    </w:p>
    <w:p w14:paraId="005651DB" w14:textId="77777777" w:rsidR="001148B8" w:rsidRDefault="001148B8" w:rsidP="001148B8">
      <w:r>
        <w:t>T</w:t>
      </w:r>
      <w:r w:rsidRPr="00181919">
        <w:t xml:space="preserve">here is huge potential for the </w:t>
      </w:r>
      <w:r>
        <w:t xml:space="preserve">Independent </w:t>
      </w:r>
      <w:r w:rsidRPr="00181919">
        <w:t>C</w:t>
      </w:r>
      <w:r>
        <w:t>ommission</w:t>
      </w:r>
      <w:r w:rsidRPr="00181919">
        <w:t xml:space="preserve"> </w:t>
      </w:r>
      <w:r>
        <w:t xml:space="preserve">on Adult Social Care </w:t>
      </w:r>
      <w:r w:rsidRPr="00181919">
        <w:t xml:space="preserve">to use the insight and data it gathers through service and LA inspections to inform system change, influence commissioning </w:t>
      </w:r>
      <w:r>
        <w:t>and become a strategic force for care quality improvement.  T</w:t>
      </w:r>
      <w:r w:rsidRPr="00181919">
        <w:t xml:space="preserve">his </w:t>
      </w:r>
      <w:r>
        <w:t>ha</w:t>
      </w:r>
      <w:r w:rsidRPr="00181919">
        <w:t>s</w:t>
      </w:r>
      <w:r>
        <w:t xml:space="preserve"> been</w:t>
      </w:r>
      <w:r w:rsidRPr="00181919">
        <w:t xml:space="preserve"> largely hidden</w:t>
      </w:r>
      <w:r>
        <w:t xml:space="preserve"> by the transactional nature of your inspection programme</w:t>
      </w:r>
      <w:r w:rsidRPr="00181919">
        <w:t>. The CQC’s system role is critical as we move to neighbourhood health systems, towards a national care service and implementation of the shifts set out for the NHS</w:t>
      </w:r>
      <w:r>
        <w:t>.</w:t>
      </w:r>
    </w:p>
    <w:p w14:paraId="0A8EE23A" w14:textId="77777777" w:rsidR="001148B8" w:rsidRDefault="001148B8" w:rsidP="001148B8">
      <w:r>
        <w:t xml:space="preserve">It </w:t>
      </w:r>
      <w:r w:rsidRPr="000738B2">
        <w:t>would be prudent for CQC to ensure there is sufficient scope in its</w:t>
      </w:r>
      <w:r>
        <w:t xml:space="preserve"> </w:t>
      </w:r>
      <w:r w:rsidRPr="000738B2">
        <w:t>assessment approach to enable a strong focus on commissioning activities,</w:t>
      </w:r>
      <w:r>
        <w:t xml:space="preserve"> </w:t>
      </w:r>
      <w:r w:rsidRPr="000738B2">
        <w:t>fee settings and uplifts and provider engagement as a means for the regulator</w:t>
      </w:r>
      <w:r>
        <w:t xml:space="preserve"> </w:t>
      </w:r>
      <w:r w:rsidRPr="000738B2">
        <w:t>to support improvements. Some local authorities are using contractual terms</w:t>
      </w:r>
      <w:r>
        <w:t xml:space="preserve"> </w:t>
      </w:r>
      <w:r w:rsidRPr="000738B2">
        <w:t>that allow them to unilaterally hold or extend providers into loss making</w:t>
      </w:r>
      <w:r>
        <w:t xml:space="preserve"> contracts.</w:t>
      </w:r>
    </w:p>
    <w:p w14:paraId="2689903C" w14:textId="77777777" w:rsidR="001148B8" w:rsidRDefault="001148B8" w:rsidP="001148B8">
      <w:r>
        <w:lastRenderedPageBreak/>
        <w:t xml:space="preserve">We acknowledge that CQC may not have a view on a particular fee rate, but the reasoning and rationale that authorities provide to CQC about their approach to rates are worthy of regulatory oversight.  For example, how are local authorities discharging their statutory duties to manage the market and/or commission the local workforce when offering a 0% fee uplift or when there is an 86% variation in hourly rates for supported living in one local authority versus another? This seems to be an area that CQC have chosen to duck in recent years, and as it takes stock, it important for the regulator to adopt a more robust and proportionate approach to its methodology. </w:t>
      </w:r>
    </w:p>
    <w:p w14:paraId="066F0264" w14:textId="77777777" w:rsidR="001148B8" w:rsidRDefault="001148B8" w:rsidP="001148B8">
      <w:r>
        <w:t>Our members are particularly susceptible to these trends as services for adults with disabilities tend to be longer term arrangements than in service for older people and more susceptible to the erosion of funding over time without corresponding changes in need or expectation.</w:t>
      </w:r>
    </w:p>
    <w:p w14:paraId="0C90E141" w14:textId="6BBB6E2F" w:rsidR="00B51B3B" w:rsidRDefault="001148B8" w:rsidP="001148B8">
      <w:r>
        <w:t>In some areas, we see a domination of the procurement function over commissioning duties in local authorities.  Unless CQC inspection of local authorities addresses these practices our members efforts to o quality will be undermined by a race to the floor.</w:t>
      </w:r>
    </w:p>
    <w:p w14:paraId="101A4B3D" w14:textId="29B6BAB9" w:rsidR="002B4B2D" w:rsidRDefault="002B4B2D" w:rsidP="001148B8">
      <w:r>
        <w:t xml:space="preserve">We redraw CQC’s attention to our </w:t>
      </w:r>
      <w:r w:rsidR="004C72BC">
        <w:t xml:space="preserve">recent </w:t>
      </w:r>
      <w:r>
        <w:t>corresp</w:t>
      </w:r>
      <w:r w:rsidR="009476CA">
        <w:t>o</w:t>
      </w:r>
      <w:r>
        <w:t xml:space="preserve">ndence </w:t>
      </w:r>
      <w:r w:rsidR="009476CA">
        <w:t xml:space="preserve">making representations </w:t>
      </w:r>
      <w:r>
        <w:t xml:space="preserve">about </w:t>
      </w:r>
      <w:r w:rsidR="009476CA">
        <w:t>Right Support, Right Care, Ri</w:t>
      </w:r>
      <w:r w:rsidR="004C72BC">
        <w:t>g</w:t>
      </w:r>
      <w:r w:rsidR="009476CA">
        <w:t xml:space="preserve">ht </w:t>
      </w:r>
      <w:r w:rsidR="004C72BC">
        <w:t>Culture</w:t>
      </w:r>
    </w:p>
    <w:p w14:paraId="4266C03C" w14:textId="03CC4AC2" w:rsidR="00B5365B" w:rsidRPr="001A05DF" w:rsidRDefault="001A05DF" w:rsidP="001A05DF">
      <w:pPr>
        <w:rPr>
          <w:rFonts w:ascii="Arial" w:hAnsi="Arial" w:cs="Arial"/>
          <w:b/>
          <w:bCs/>
          <w:color w:val="005371"/>
        </w:rPr>
      </w:pPr>
      <w:r w:rsidRPr="001A05DF">
        <w:rPr>
          <w:rFonts w:ascii="Arial" w:hAnsi="Arial" w:cs="Arial"/>
          <w:b/>
          <w:bCs/>
          <w:color w:val="005371"/>
        </w:rPr>
        <w:t>Response submitted 11//12/2025</w:t>
      </w:r>
    </w:p>
    <w:p w14:paraId="7AE9A857" w14:textId="77777777" w:rsidR="00B5365B" w:rsidRPr="008C1A36" w:rsidRDefault="00B5365B" w:rsidP="00B5365B">
      <w:pPr>
        <w:autoSpaceDE w:val="0"/>
        <w:autoSpaceDN w:val="0"/>
        <w:adjustRightInd w:val="0"/>
        <w:spacing w:after="0" w:line="240" w:lineRule="auto"/>
        <w:rPr>
          <w:rFonts w:ascii="Arial" w:hAnsi="Arial" w:cs="Arial"/>
          <w:color w:val="005371"/>
          <w:kern w:val="0"/>
          <w:sz w:val="26"/>
          <w:szCs w:val="26"/>
        </w:rPr>
      </w:pPr>
      <w:r w:rsidRPr="008C1A36">
        <w:rPr>
          <w:rFonts w:ascii="Arial" w:hAnsi="Arial" w:cs="Arial"/>
          <w:color w:val="005371"/>
          <w:kern w:val="0"/>
          <w:sz w:val="26"/>
          <w:szCs w:val="26"/>
        </w:rPr>
        <w:t>VODG is a registered charity</w:t>
      </w:r>
      <w:r>
        <w:rPr>
          <w:rFonts w:ascii="Arial" w:hAnsi="Arial" w:cs="Arial"/>
          <w:color w:val="005371"/>
          <w:kern w:val="0"/>
          <w:sz w:val="26"/>
          <w:szCs w:val="26"/>
        </w:rPr>
        <w:t xml:space="preserve"> </w:t>
      </w:r>
      <w:r w:rsidRPr="008C1A36">
        <w:rPr>
          <w:rFonts w:ascii="Arial" w:hAnsi="Arial" w:cs="Arial"/>
          <w:color w:val="005371"/>
          <w:kern w:val="0"/>
          <w:sz w:val="26"/>
          <w:szCs w:val="26"/>
        </w:rPr>
        <w:t>no 1127328</w:t>
      </w:r>
    </w:p>
    <w:p w14:paraId="70EC1D0B" w14:textId="77777777" w:rsidR="00B5365B" w:rsidRPr="008C1A36" w:rsidRDefault="00B5365B" w:rsidP="00B5365B">
      <w:pPr>
        <w:rPr>
          <w:rFonts w:ascii="Arial" w:hAnsi="Arial" w:cs="Arial"/>
          <w:color w:val="005371"/>
        </w:rPr>
      </w:pPr>
      <w:hyperlink r:id="rId15" w:history="1">
        <w:r w:rsidRPr="008C1A36">
          <w:rPr>
            <w:rFonts w:ascii="Arial" w:hAnsi="Arial" w:cs="Arial"/>
            <w:color w:val="005371"/>
            <w:kern w:val="0"/>
            <w:sz w:val="26"/>
            <w:szCs w:val="26"/>
            <w:u w:val="single"/>
          </w:rPr>
          <w:t>www.vodg.org.uk</w:t>
        </w:r>
      </w:hyperlink>
      <w:r w:rsidRPr="008C1A36">
        <w:rPr>
          <w:rFonts w:ascii="Arial" w:hAnsi="Arial" w:cs="Arial"/>
          <w:color w:val="005371"/>
          <w:kern w:val="0"/>
          <w:sz w:val="26"/>
          <w:szCs w:val="26"/>
        </w:rPr>
        <w:t xml:space="preserve"> | </w:t>
      </w:r>
      <w:hyperlink r:id="rId16" w:history="1">
        <w:r w:rsidRPr="008C1A36">
          <w:rPr>
            <w:rFonts w:ascii="Arial" w:hAnsi="Arial" w:cs="Arial"/>
            <w:color w:val="005371"/>
            <w:kern w:val="0"/>
            <w:sz w:val="26"/>
            <w:szCs w:val="26"/>
            <w:u w:val="single"/>
          </w:rPr>
          <w:t>Research.policy@vodg.org.uk</w:t>
        </w:r>
      </w:hyperlink>
    </w:p>
    <w:sectPr w:rsidR="00B5365B" w:rsidRPr="008C1A36" w:rsidSect="00310ED6">
      <w:headerReference w:type="default" r:id="rId17"/>
      <w:footerReference w:type="even" r:id="rId18"/>
      <w:footerReference w:type="default" r:id="rId19"/>
      <w:pgSz w:w="11906" w:h="16838"/>
      <w:pgMar w:top="202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B6E6" w14:textId="77777777" w:rsidR="00031513" w:rsidRDefault="00031513" w:rsidP="00C25F40">
      <w:pPr>
        <w:spacing w:after="0" w:line="240" w:lineRule="auto"/>
      </w:pPr>
      <w:r>
        <w:separator/>
      </w:r>
    </w:p>
  </w:endnote>
  <w:endnote w:type="continuationSeparator" w:id="0">
    <w:p w14:paraId="004BAEF1" w14:textId="77777777" w:rsidR="00031513" w:rsidRDefault="00031513" w:rsidP="00C2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714715"/>
      <w:docPartObj>
        <w:docPartGallery w:val="Page Numbers (Bottom of Page)"/>
        <w:docPartUnique/>
      </w:docPartObj>
    </w:sdtPr>
    <w:sdtContent>
      <w:p w14:paraId="37985A57" w14:textId="77777777" w:rsidR="00D00FDA" w:rsidRDefault="00D00FDA" w:rsidP="00A27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CE9D03" w14:textId="77777777" w:rsidR="00D00FDA" w:rsidRDefault="00D00FDA" w:rsidP="00D00F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7505282"/>
      <w:docPartObj>
        <w:docPartGallery w:val="Page Numbers (Bottom of Page)"/>
        <w:docPartUnique/>
      </w:docPartObj>
    </w:sdtPr>
    <w:sdtContent>
      <w:p w14:paraId="7232D469" w14:textId="77777777" w:rsidR="00D00FDA" w:rsidRDefault="00D00FDA" w:rsidP="00C72124">
        <w:pPr>
          <w:pStyle w:val="Footer"/>
          <w:framePr w:wrap="none" w:vAnchor="text" w:hAnchor="margin" w:xAlign="right" w:y="1"/>
          <w:jc w:val="center"/>
          <w:rPr>
            <w:rStyle w:val="PageNumber"/>
          </w:rPr>
        </w:pPr>
        <w:r w:rsidRPr="00D00FDA">
          <w:rPr>
            <w:rStyle w:val="PageNumber"/>
            <w:rFonts w:ascii="Arial" w:hAnsi="Arial" w:cs="Arial"/>
            <w:b/>
            <w:bCs/>
            <w:color w:val="FFFFFF" w:themeColor="background1"/>
          </w:rPr>
          <w:fldChar w:fldCharType="begin"/>
        </w:r>
        <w:r w:rsidRPr="00D00FDA">
          <w:rPr>
            <w:rStyle w:val="PageNumber"/>
            <w:rFonts w:ascii="Arial" w:hAnsi="Arial" w:cs="Arial"/>
            <w:b/>
            <w:bCs/>
            <w:color w:val="FFFFFF" w:themeColor="background1"/>
          </w:rPr>
          <w:instrText xml:space="preserve"> PAGE </w:instrText>
        </w:r>
        <w:r w:rsidRPr="00D00FDA">
          <w:rPr>
            <w:rStyle w:val="PageNumber"/>
            <w:rFonts w:ascii="Arial" w:hAnsi="Arial" w:cs="Arial"/>
            <w:b/>
            <w:bCs/>
            <w:color w:val="FFFFFF" w:themeColor="background1"/>
          </w:rPr>
          <w:fldChar w:fldCharType="separate"/>
        </w:r>
        <w:r w:rsidRPr="00D00FDA">
          <w:rPr>
            <w:rStyle w:val="PageNumber"/>
            <w:rFonts w:ascii="Arial" w:hAnsi="Arial" w:cs="Arial"/>
            <w:b/>
            <w:bCs/>
            <w:noProof/>
            <w:color w:val="FFFFFF" w:themeColor="background1"/>
          </w:rPr>
          <w:t>1</w:t>
        </w:r>
        <w:r w:rsidRPr="00D00FDA">
          <w:rPr>
            <w:rStyle w:val="PageNumber"/>
            <w:rFonts w:ascii="Arial" w:hAnsi="Arial" w:cs="Arial"/>
            <w:b/>
            <w:bCs/>
            <w:color w:val="FFFFFF" w:themeColor="background1"/>
          </w:rPr>
          <w:fldChar w:fldCharType="end"/>
        </w:r>
      </w:p>
    </w:sdtContent>
  </w:sdt>
  <w:p w14:paraId="230BBB2E" w14:textId="3625337F" w:rsidR="00D00FDA" w:rsidRDefault="00B5365B" w:rsidP="00D00FDA">
    <w:pPr>
      <w:pStyle w:val="Footer"/>
      <w:ind w:right="360"/>
    </w:pPr>
    <w:r>
      <w:rPr>
        <w:noProof/>
      </w:rPr>
      <mc:AlternateContent>
        <mc:Choice Requires="wps">
          <w:drawing>
            <wp:anchor distT="0" distB="0" distL="114300" distR="114300" simplePos="0" relativeHeight="251663360" behindDoc="0" locked="0" layoutInCell="1" allowOverlap="1" wp14:anchorId="5F9B6044" wp14:editId="738334F7">
              <wp:simplePos x="0" y="0"/>
              <wp:positionH relativeFrom="column">
                <wp:posOffset>-59377</wp:posOffset>
              </wp:positionH>
              <wp:positionV relativeFrom="paragraph">
                <wp:posOffset>25656</wp:posOffset>
              </wp:positionV>
              <wp:extent cx="5284520" cy="247897"/>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284520" cy="247897"/>
                      </a:xfrm>
                      <a:prstGeom prst="rect">
                        <a:avLst/>
                      </a:prstGeom>
                      <a:solidFill>
                        <a:schemeClr val="lt1"/>
                      </a:solidFill>
                      <a:ln w="6350">
                        <a:noFill/>
                      </a:ln>
                    </wps:spPr>
                    <wps:txbx>
                      <w:txbxContent>
                        <w:p w14:paraId="6DB60507" w14:textId="1509BF9C" w:rsidR="00D00FDA" w:rsidRPr="00D00FDA" w:rsidRDefault="0042197B">
                          <w:pPr>
                            <w:rPr>
                              <w:color w:val="005371"/>
                            </w:rPr>
                          </w:pPr>
                          <w:r>
                            <w:rPr>
                              <w:rFonts w:ascii="Arial" w:hAnsi="Arial" w:cs="Arial"/>
                              <w:b/>
                              <w:bCs/>
                              <w:color w:val="005371"/>
                              <w:sz w:val="16"/>
                              <w:szCs w:val="16"/>
                            </w:rPr>
                            <w:t xml:space="preserve">VODG Response to CQC </w:t>
                          </w:r>
                          <w:r w:rsidR="00B14C2D">
                            <w:rPr>
                              <w:rFonts w:ascii="Arial" w:hAnsi="Arial" w:cs="Arial"/>
                              <w:b/>
                              <w:bCs/>
                              <w:color w:val="005371"/>
                              <w:sz w:val="16"/>
                              <w:szCs w:val="16"/>
                            </w:rPr>
                            <w:t>“</w:t>
                          </w:r>
                          <w:r>
                            <w:rPr>
                              <w:rFonts w:ascii="Arial" w:hAnsi="Arial" w:cs="Arial"/>
                              <w:b/>
                              <w:bCs/>
                              <w:color w:val="005371"/>
                              <w:sz w:val="16"/>
                              <w:szCs w:val="16"/>
                            </w:rPr>
                            <w:t>Consultation on</w:t>
                          </w:r>
                          <w:r w:rsidR="00321F52">
                            <w:rPr>
                              <w:rFonts w:ascii="Arial" w:hAnsi="Arial" w:cs="Arial"/>
                              <w:b/>
                              <w:bCs/>
                              <w:color w:val="005371"/>
                              <w:sz w:val="16"/>
                              <w:szCs w:val="16"/>
                            </w:rPr>
                            <w:t xml:space="preserve"> improving how we assess and rate providers</w:t>
                          </w:r>
                          <w:r w:rsidR="00B14C2D">
                            <w:rPr>
                              <w:rFonts w:ascii="Arial" w:hAnsi="Arial" w:cs="Arial"/>
                              <w:b/>
                              <w:bCs/>
                              <w:color w:val="005371"/>
                              <w:sz w:val="16"/>
                              <w:szCs w:val="16"/>
                            </w:rPr>
                            <w:t>”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B6044" id="_x0000_t202" coordsize="21600,21600" o:spt="202" path="m,l,21600r21600,l21600,xe">
              <v:stroke joinstyle="miter"/>
              <v:path gradientshapeok="t" o:connecttype="rect"/>
            </v:shapetype>
            <v:shape id="Text Box 12" o:spid="_x0000_s1026" type="#_x0000_t202" style="position:absolute;margin-left:-4.7pt;margin-top:2pt;width:416.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" fillcolor="white [3201]" stroked="f" strokeweight=".5pt">
              <v:textbox>
                <w:txbxContent>
                  <w:p w14:paraId="6DB60507" w14:textId="1509BF9C" w:rsidR="00D00FDA" w:rsidRPr="00D00FDA" w:rsidRDefault="0042197B">
                    <w:pPr>
                      <w:rPr>
                        <w:color w:val="005371"/>
                      </w:rPr>
                    </w:pPr>
                    <w:r>
                      <w:rPr>
                        <w:rFonts w:ascii="Arial" w:hAnsi="Arial" w:cs="Arial"/>
                        <w:b/>
                        <w:bCs/>
                        <w:color w:val="005371"/>
                        <w:sz w:val="16"/>
                        <w:szCs w:val="16"/>
                      </w:rPr>
                      <w:t xml:space="preserve">VODG Response to CQC </w:t>
                    </w:r>
                    <w:r w:rsidR="00B14C2D">
                      <w:rPr>
                        <w:rFonts w:ascii="Arial" w:hAnsi="Arial" w:cs="Arial"/>
                        <w:b/>
                        <w:bCs/>
                        <w:color w:val="005371"/>
                        <w:sz w:val="16"/>
                        <w:szCs w:val="16"/>
                      </w:rPr>
                      <w:t>“</w:t>
                    </w:r>
                    <w:r>
                      <w:rPr>
                        <w:rFonts w:ascii="Arial" w:hAnsi="Arial" w:cs="Arial"/>
                        <w:b/>
                        <w:bCs/>
                        <w:color w:val="005371"/>
                        <w:sz w:val="16"/>
                        <w:szCs w:val="16"/>
                      </w:rPr>
                      <w:t>Consultation on</w:t>
                    </w:r>
                    <w:r w:rsidR="00321F52">
                      <w:rPr>
                        <w:rFonts w:ascii="Arial" w:hAnsi="Arial" w:cs="Arial"/>
                        <w:b/>
                        <w:bCs/>
                        <w:color w:val="005371"/>
                        <w:sz w:val="16"/>
                        <w:szCs w:val="16"/>
                      </w:rPr>
                      <w:t xml:space="preserve"> improving how we assess and rate providers</w:t>
                    </w:r>
                    <w:r w:rsidR="00B14C2D">
                      <w:rPr>
                        <w:rFonts w:ascii="Arial" w:hAnsi="Arial" w:cs="Arial"/>
                        <w:b/>
                        <w:bCs/>
                        <w:color w:val="005371"/>
                        <w:sz w:val="16"/>
                        <w:szCs w:val="16"/>
                      </w:rPr>
                      <w:t>” Dec 2025</w:t>
                    </w:r>
                  </w:p>
                </w:txbxContent>
              </v:textbox>
            </v:shape>
          </w:pict>
        </mc:Fallback>
      </mc:AlternateContent>
    </w:r>
    <w:r w:rsidR="00FD4C65">
      <w:rPr>
        <w:rFonts w:ascii="Arial" w:hAnsi="Arial" w:cs="Arial"/>
        <w:b/>
        <w:bCs/>
        <w:noProof/>
        <w:color w:val="30393E"/>
        <w:sz w:val="48"/>
        <w:szCs w:val="48"/>
      </w:rPr>
      <mc:AlternateContent>
        <mc:Choice Requires="wps">
          <w:drawing>
            <wp:anchor distT="0" distB="0" distL="114300" distR="114300" simplePos="0" relativeHeight="251665408" behindDoc="0" locked="0" layoutInCell="1" allowOverlap="1" wp14:anchorId="4869DF2C" wp14:editId="20A3725A">
              <wp:simplePos x="0" y="0"/>
              <wp:positionH relativeFrom="column">
                <wp:posOffset>0</wp:posOffset>
              </wp:positionH>
              <wp:positionV relativeFrom="paragraph">
                <wp:posOffset>-267783</wp:posOffset>
              </wp:positionV>
              <wp:extent cx="5869940" cy="0"/>
              <wp:effectExtent l="0" t="12700" r="22860" b="12700"/>
              <wp:wrapNone/>
              <wp:docPr id="14" name="Straight Connector 14"/>
              <wp:cNvGraphicFramePr/>
              <a:graphic xmlns:a="http://schemas.openxmlformats.org/drawingml/2006/main">
                <a:graphicData uri="http://schemas.microsoft.com/office/word/2010/wordprocessingShape">
                  <wps:wsp>
                    <wps:cNvCnPr/>
                    <wps:spPr>
                      <a:xfrm>
                        <a:off x="0" y="0"/>
                        <a:ext cx="5869940" cy="0"/>
                      </a:xfrm>
                      <a:prstGeom prst="line">
                        <a:avLst/>
                      </a:prstGeom>
                      <a:ln w="19050">
                        <a:solidFill>
                          <a:srgbClr val="C6C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AC301"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1pt" to="462.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" strokecolor="#c6c427" strokeweight="1.5pt">
              <v:stroke joinstyle="miter"/>
            </v:line>
          </w:pict>
        </mc:Fallback>
      </mc:AlternateContent>
    </w:r>
    <w:r w:rsidR="00D00FDA">
      <w:rPr>
        <w:noProof/>
      </w:rPr>
      <mc:AlternateContent>
        <mc:Choice Requires="wps">
          <w:drawing>
            <wp:anchor distT="0" distB="0" distL="114300" distR="114300" simplePos="0" relativeHeight="251657215" behindDoc="1" locked="0" layoutInCell="1" allowOverlap="1" wp14:anchorId="3966B898" wp14:editId="34C46727">
              <wp:simplePos x="0" y="0"/>
              <wp:positionH relativeFrom="column">
                <wp:posOffset>5524500</wp:posOffset>
              </wp:positionH>
              <wp:positionV relativeFrom="paragraph">
                <wp:posOffset>-74295</wp:posOffset>
              </wp:positionV>
              <wp:extent cx="342900" cy="342900"/>
              <wp:effectExtent l="0" t="0" r="0" b="0"/>
              <wp:wrapNone/>
              <wp:docPr id="11" name="Rectangle 11"/>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C6C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35778" id="Rectangle 11" o:spid="_x0000_s1026" style="position:absolute;margin-left:435pt;margin-top:-5.85pt;width:27pt;height: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" fillcolor="#c6c427" stroked="f" strokeweight="1pt"/>
          </w:pict>
        </mc:Fallback>
      </mc:AlternateContent>
    </w:r>
    <w:r w:rsidR="0042197B">
      <w:t xml:space="preserve">VOD </w:t>
    </w:r>
    <w:r w:rsidR="00E17B93">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CC13" w14:textId="77777777" w:rsidR="00031513" w:rsidRDefault="00031513" w:rsidP="00C25F40">
      <w:pPr>
        <w:spacing w:after="0" w:line="240" w:lineRule="auto"/>
      </w:pPr>
      <w:r>
        <w:separator/>
      </w:r>
    </w:p>
  </w:footnote>
  <w:footnote w:type="continuationSeparator" w:id="0">
    <w:p w14:paraId="663CF418" w14:textId="77777777" w:rsidR="00031513" w:rsidRDefault="00031513" w:rsidP="00C2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477A" w14:textId="77777777" w:rsidR="00DA38A0" w:rsidRDefault="00310ED6">
    <w:pPr>
      <w:pStyle w:val="Header"/>
    </w:pPr>
    <w:r>
      <w:rPr>
        <w:rFonts w:ascii="Arial" w:hAnsi="Arial" w:cs="Arial"/>
        <w:b/>
        <w:bCs/>
        <w:noProof/>
        <w:color w:val="30393E"/>
      </w:rPr>
      <mc:AlternateContent>
        <mc:Choice Requires="wps">
          <w:drawing>
            <wp:anchor distT="0" distB="0" distL="114300" distR="114300" simplePos="0" relativeHeight="251660288" behindDoc="0" locked="0" layoutInCell="1" allowOverlap="1" wp14:anchorId="0576E75A" wp14:editId="3D9619E6">
              <wp:simplePos x="0" y="0"/>
              <wp:positionH relativeFrom="column">
                <wp:posOffset>-914400</wp:posOffset>
              </wp:positionH>
              <wp:positionV relativeFrom="paragraph">
                <wp:posOffset>-445135</wp:posOffset>
              </wp:positionV>
              <wp:extent cx="635000" cy="635000"/>
              <wp:effectExtent l="0" t="0" r="0" b="0"/>
              <wp:wrapNone/>
              <wp:docPr id="5" name="Rectangle 5"/>
              <wp:cNvGraphicFramePr/>
              <a:graphic xmlns:a="http://schemas.openxmlformats.org/drawingml/2006/main">
                <a:graphicData uri="http://schemas.microsoft.com/office/word/2010/wordprocessingShape">
                  <wps:wsp>
                    <wps:cNvSpPr/>
                    <wps:spPr>
                      <a:xfrm>
                        <a:off x="0" y="0"/>
                        <a:ext cx="635000" cy="635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74A21" id="Rectangle 5" o:spid="_x0000_s1026" style="position:absolute;margin-left:-1in;margin-top:-35.05pt;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" fillcolor="#156082 [3204]" stroked="f" strokeweight="1pt"/>
          </w:pict>
        </mc:Fallback>
      </mc:AlternateContent>
    </w:r>
    <w:r w:rsidRPr="00310ED6">
      <w:rPr>
        <w:rFonts w:ascii="Arial" w:hAnsi="Arial" w:cs="Arial"/>
        <w:b/>
        <w:bCs/>
        <w:noProof/>
        <w:color w:val="C6C427"/>
      </w:rPr>
      <mc:AlternateContent>
        <mc:Choice Requires="wps">
          <w:drawing>
            <wp:anchor distT="0" distB="0" distL="114300" distR="114300" simplePos="0" relativeHeight="251661312" behindDoc="0" locked="0" layoutInCell="1" allowOverlap="1" wp14:anchorId="426C5ADB" wp14:editId="51E65647">
              <wp:simplePos x="0" y="0"/>
              <wp:positionH relativeFrom="column">
                <wp:posOffset>-279400</wp:posOffset>
              </wp:positionH>
              <wp:positionV relativeFrom="paragraph">
                <wp:posOffset>176530</wp:posOffset>
              </wp:positionV>
              <wp:extent cx="406400" cy="406400"/>
              <wp:effectExtent l="0" t="0" r="0" b="0"/>
              <wp:wrapNone/>
              <wp:docPr id="6" name="Rectangle 6"/>
              <wp:cNvGraphicFramePr/>
              <a:graphic xmlns:a="http://schemas.openxmlformats.org/drawingml/2006/main">
                <a:graphicData uri="http://schemas.microsoft.com/office/word/2010/wordprocessingShape">
                  <wps:wsp>
                    <wps:cNvSpPr/>
                    <wps:spPr>
                      <a:xfrm>
                        <a:off x="0" y="0"/>
                        <a:ext cx="406400" cy="406400"/>
                      </a:xfrm>
                      <a:prstGeom prst="rect">
                        <a:avLst/>
                      </a:prstGeom>
                      <a:solidFill>
                        <a:srgbClr val="C6C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6A7EB" id="Rectangle 6" o:spid="_x0000_s1026" style="position:absolute;margin-left:-22pt;margin-top:13.9pt;width:32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" fillcolor="#c6c427" stroked="f" strokeweight="1pt"/>
          </w:pict>
        </mc:Fallback>
      </mc:AlternateContent>
    </w:r>
    <w:r w:rsidRPr="00310ED6">
      <w:rPr>
        <w:rFonts w:ascii="Arial" w:hAnsi="Arial" w:cs="Arial"/>
        <w:b/>
        <w:bCs/>
        <w:noProof/>
        <w:color w:val="C6C427"/>
      </w:rPr>
      <mc:AlternateContent>
        <mc:Choice Requires="wps">
          <w:drawing>
            <wp:anchor distT="0" distB="0" distL="114300" distR="114300" simplePos="0" relativeHeight="251662336" behindDoc="0" locked="0" layoutInCell="1" allowOverlap="1" wp14:anchorId="0C88D004" wp14:editId="77A0E458">
              <wp:simplePos x="0" y="0"/>
              <wp:positionH relativeFrom="column">
                <wp:posOffset>123825</wp:posOffset>
              </wp:positionH>
              <wp:positionV relativeFrom="paragraph">
                <wp:posOffset>-64135</wp:posOffset>
              </wp:positionV>
              <wp:extent cx="241300" cy="241300"/>
              <wp:effectExtent l="0" t="0" r="0" b="0"/>
              <wp:wrapNone/>
              <wp:docPr id="7" name="Rectangle 7"/>
              <wp:cNvGraphicFramePr/>
              <a:graphic xmlns:a="http://schemas.openxmlformats.org/drawingml/2006/main">
                <a:graphicData uri="http://schemas.microsoft.com/office/word/2010/wordprocessingShape">
                  <wps:wsp>
                    <wps:cNvSpPr/>
                    <wps:spPr>
                      <a:xfrm>
                        <a:off x="0" y="0"/>
                        <a:ext cx="241300" cy="241300"/>
                      </a:xfrm>
                      <a:prstGeom prst="rect">
                        <a:avLst/>
                      </a:prstGeom>
                      <a:solidFill>
                        <a:srgbClr val="E7E4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6D31" id="Rectangle 7" o:spid="_x0000_s1026" style="position:absolute;margin-left:9.75pt;margin-top:-5.05pt;width:19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" fillcolor="#e7e4dc" stroked="f" strokeweight="1pt"/>
          </w:pict>
        </mc:Fallback>
      </mc:AlternateContent>
    </w:r>
    <w:r w:rsidR="00DA38A0" w:rsidRPr="00AD2DEC">
      <w:rPr>
        <w:rFonts w:ascii="Arial" w:hAnsi="Arial" w:cs="Arial"/>
        <w:b/>
        <w:bCs/>
        <w:noProof/>
      </w:rPr>
      <w:drawing>
        <wp:anchor distT="0" distB="0" distL="114300" distR="114300" simplePos="0" relativeHeight="251658240" behindDoc="1" locked="0" layoutInCell="1" allowOverlap="1" wp14:anchorId="7264FB54" wp14:editId="270AACFE">
          <wp:simplePos x="0" y="0"/>
          <wp:positionH relativeFrom="column">
            <wp:posOffset>3822700</wp:posOffset>
          </wp:positionH>
          <wp:positionV relativeFrom="paragraph">
            <wp:posOffset>-81280</wp:posOffset>
          </wp:positionV>
          <wp:extent cx="2273300" cy="761556"/>
          <wp:effectExtent l="0" t="0" r="0" b="0"/>
          <wp:wrapNone/>
          <wp:docPr id="19" name="Picture 29" descr="A picture containing text, sign, black&#10;&#10;Description automatically generated">
            <a:extLst xmlns:a="http://schemas.openxmlformats.org/drawingml/2006/main">
              <a:ext uri="{FF2B5EF4-FFF2-40B4-BE49-F238E27FC236}">
                <a16:creationId xmlns:a16="http://schemas.microsoft.com/office/drawing/2014/main" id="{FB62D867-CD8E-A14B-B221-BADE93B192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A picture containing text, sign, black&#10;&#10;Description automatically generated">
                    <a:extLst>
                      <a:ext uri="{FF2B5EF4-FFF2-40B4-BE49-F238E27FC236}">
                        <a16:creationId xmlns:a16="http://schemas.microsoft.com/office/drawing/2014/main" id="{FB62D867-CD8E-A14B-B221-BADE93B1922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76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0C5"/>
    <w:multiLevelType w:val="multilevel"/>
    <w:tmpl w:val="3512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E517B"/>
    <w:multiLevelType w:val="multilevel"/>
    <w:tmpl w:val="3EA6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472D0E"/>
    <w:multiLevelType w:val="hybridMultilevel"/>
    <w:tmpl w:val="F47E46E4"/>
    <w:lvl w:ilvl="0" w:tplc="2F9AA61C">
      <w:start w:val="1"/>
      <w:numFmt w:val="bullet"/>
      <w:pStyle w:val="BULLETS"/>
      <w:lvlText w:val=""/>
      <w:lvlJc w:val="left"/>
      <w:pPr>
        <w:ind w:left="720" w:hanging="360"/>
      </w:pPr>
      <w:rPr>
        <w:rFonts w:ascii="Wingdings" w:hAnsi="Wingdings" w:hint="default"/>
        <w:color w:val="C6C427"/>
        <w:sz w:val="28"/>
        <w:u w:val="none"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D48D7"/>
    <w:multiLevelType w:val="multilevel"/>
    <w:tmpl w:val="339E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72090"/>
    <w:multiLevelType w:val="multilevel"/>
    <w:tmpl w:val="D6B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C43609"/>
    <w:multiLevelType w:val="multilevel"/>
    <w:tmpl w:val="7BD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1B7983"/>
    <w:multiLevelType w:val="multilevel"/>
    <w:tmpl w:val="C84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141AD0"/>
    <w:multiLevelType w:val="multilevel"/>
    <w:tmpl w:val="C36C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8214709">
    <w:abstractNumId w:val="2"/>
  </w:num>
  <w:num w:numId="2" w16cid:durableId="123473348">
    <w:abstractNumId w:val="3"/>
  </w:num>
  <w:num w:numId="3" w16cid:durableId="166677078">
    <w:abstractNumId w:val="5"/>
  </w:num>
  <w:num w:numId="4" w16cid:durableId="1841849473">
    <w:abstractNumId w:val="4"/>
  </w:num>
  <w:num w:numId="5" w16cid:durableId="688263566">
    <w:abstractNumId w:val="6"/>
  </w:num>
  <w:num w:numId="6" w16cid:durableId="1380275729">
    <w:abstractNumId w:val="1"/>
  </w:num>
  <w:num w:numId="7" w16cid:durableId="1431393028">
    <w:abstractNumId w:val="0"/>
  </w:num>
  <w:num w:numId="8" w16cid:durableId="14784995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B9"/>
    <w:rsid w:val="00002F9D"/>
    <w:rsid w:val="000078E4"/>
    <w:rsid w:val="0001066E"/>
    <w:rsid w:val="00016070"/>
    <w:rsid w:val="00026252"/>
    <w:rsid w:val="00031513"/>
    <w:rsid w:val="00031B69"/>
    <w:rsid w:val="00041488"/>
    <w:rsid w:val="000509EE"/>
    <w:rsid w:val="00055A20"/>
    <w:rsid w:val="00061734"/>
    <w:rsid w:val="000759BE"/>
    <w:rsid w:val="0009717E"/>
    <w:rsid w:val="000A2D58"/>
    <w:rsid w:val="000A3E32"/>
    <w:rsid w:val="000B3511"/>
    <w:rsid w:val="000C48AA"/>
    <w:rsid w:val="000E5C87"/>
    <w:rsid w:val="00103E1F"/>
    <w:rsid w:val="001148B8"/>
    <w:rsid w:val="001171FE"/>
    <w:rsid w:val="00126E1B"/>
    <w:rsid w:val="001313AA"/>
    <w:rsid w:val="001614CC"/>
    <w:rsid w:val="00176471"/>
    <w:rsid w:val="001839C9"/>
    <w:rsid w:val="001932CB"/>
    <w:rsid w:val="00196985"/>
    <w:rsid w:val="001A05DF"/>
    <w:rsid w:val="001A1F9C"/>
    <w:rsid w:val="001B1DB1"/>
    <w:rsid w:val="001C5AE4"/>
    <w:rsid w:val="001F0315"/>
    <w:rsid w:val="001F57B6"/>
    <w:rsid w:val="00200242"/>
    <w:rsid w:val="00203A51"/>
    <w:rsid w:val="00207CAC"/>
    <w:rsid w:val="00212F29"/>
    <w:rsid w:val="00221851"/>
    <w:rsid w:val="00230E4E"/>
    <w:rsid w:val="00231546"/>
    <w:rsid w:val="00231673"/>
    <w:rsid w:val="00232D1C"/>
    <w:rsid w:val="00237D67"/>
    <w:rsid w:val="00237D81"/>
    <w:rsid w:val="0027305F"/>
    <w:rsid w:val="00277659"/>
    <w:rsid w:val="00292722"/>
    <w:rsid w:val="00293DBB"/>
    <w:rsid w:val="002A28F1"/>
    <w:rsid w:val="002A418C"/>
    <w:rsid w:val="002A67A3"/>
    <w:rsid w:val="002B1370"/>
    <w:rsid w:val="002B14D3"/>
    <w:rsid w:val="002B4B2D"/>
    <w:rsid w:val="002B6181"/>
    <w:rsid w:val="002C6BB7"/>
    <w:rsid w:val="002F0522"/>
    <w:rsid w:val="00302471"/>
    <w:rsid w:val="003046C9"/>
    <w:rsid w:val="00310ED6"/>
    <w:rsid w:val="00321F52"/>
    <w:rsid w:val="003308FA"/>
    <w:rsid w:val="0034537E"/>
    <w:rsid w:val="00345C36"/>
    <w:rsid w:val="00351EFB"/>
    <w:rsid w:val="0037257A"/>
    <w:rsid w:val="00383E23"/>
    <w:rsid w:val="003843BF"/>
    <w:rsid w:val="003B22AE"/>
    <w:rsid w:val="003D1B34"/>
    <w:rsid w:val="003D32AF"/>
    <w:rsid w:val="0042197B"/>
    <w:rsid w:val="00422C42"/>
    <w:rsid w:val="00436B06"/>
    <w:rsid w:val="0047423F"/>
    <w:rsid w:val="00474F59"/>
    <w:rsid w:val="00484E4E"/>
    <w:rsid w:val="00495EF4"/>
    <w:rsid w:val="004B5963"/>
    <w:rsid w:val="004C1409"/>
    <w:rsid w:val="004C72BC"/>
    <w:rsid w:val="004D6561"/>
    <w:rsid w:val="004F1461"/>
    <w:rsid w:val="004F3C3E"/>
    <w:rsid w:val="00502F91"/>
    <w:rsid w:val="005105FF"/>
    <w:rsid w:val="00516C47"/>
    <w:rsid w:val="00524457"/>
    <w:rsid w:val="00525DA9"/>
    <w:rsid w:val="005367CE"/>
    <w:rsid w:val="00537970"/>
    <w:rsid w:val="0054318A"/>
    <w:rsid w:val="005744DC"/>
    <w:rsid w:val="005800FE"/>
    <w:rsid w:val="005B1F92"/>
    <w:rsid w:val="005C1EA7"/>
    <w:rsid w:val="00615F43"/>
    <w:rsid w:val="00635261"/>
    <w:rsid w:val="00636DED"/>
    <w:rsid w:val="00641730"/>
    <w:rsid w:val="00655312"/>
    <w:rsid w:val="00674EEF"/>
    <w:rsid w:val="00675307"/>
    <w:rsid w:val="0068031F"/>
    <w:rsid w:val="006916B3"/>
    <w:rsid w:val="00693D45"/>
    <w:rsid w:val="006B2C04"/>
    <w:rsid w:val="006C73D1"/>
    <w:rsid w:val="00704604"/>
    <w:rsid w:val="007056E1"/>
    <w:rsid w:val="00705B56"/>
    <w:rsid w:val="00712277"/>
    <w:rsid w:val="007220E5"/>
    <w:rsid w:val="0074513B"/>
    <w:rsid w:val="00746E14"/>
    <w:rsid w:val="00767C28"/>
    <w:rsid w:val="00776A7B"/>
    <w:rsid w:val="007A1F57"/>
    <w:rsid w:val="007A4431"/>
    <w:rsid w:val="007A74CE"/>
    <w:rsid w:val="007B0D6D"/>
    <w:rsid w:val="007B2C03"/>
    <w:rsid w:val="007C32A0"/>
    <w:rsid w:val="007C336A"/>
    <w:rsid w:val="007C6891"/>
    <w:rsid w:val="007D12DD"/>
    <w:rsid w:val="007D46B4"/>
    <w:rsid w:val="007F1275"/>
    <w:rsid w:val="007F3799"/>
    <w:rsid w:val="008411A2"/>
    <w:rsid w:val="00847FB7"/>
    <w:rsid w:val="00867CD1"/>
    <w:rsid w:val="0088248A"/>
    <w:rsid w:val="00893B1F"/>
    <w:rsid w:val="00894772"/>
    <w:rsid w:val="008B0B21"/>
    <w:rsid w:val="008B6013"/>
    <w:rsid w:val="008C1A36"/>
    <w:rsid w:val="008D046B"/>
    <w:rsid w:val="008E1FA5"/>
    <w:rsid w:val="008E4DA4"/>
    <w:rsid w:val="008E5F87"/>
    <w:rsid w:val="00901304"/>
    <w:rsid w:val="00904A68"/>
    <w:rsid w:val="009208BE"/>
    <w:rsid w:val="009261F2"/>
    <w:rsid w:val="009476CA"/>
    <w:rsid w:val="00950A33"/>
    <w:rsid w:val="00956EEB"/>
    <w:rsid w:val="00957485"/>
    <w:rsid w:val="009759AC"/>
    <w:rsid w:val="0099475C"/>
    <w:rsid w:val="009B6820"/>
    <w:rsid w:val="009F3C2E"/>
    <w:rsid w:val="00A15CEE"/>
    <w:rsid w:val="00A256D6"/>
    <w:rsid w:val="00A2701B"/>
    <w:rsid w:val="00A3149F"/>
    <w:rsid w:val="00A354B1"/>
    <w:rsid w:val="00A46057"/>
    <w:rsid w:val="00A669C4"/>
    <w:rsid w:val="00A71163"/>
    <w:rsid w:val="00A74A68"/>
    <w:rsid w:val="00A8327A"/>
    <w:rsid w:val="00A85C84"/>
    <w:rsid w:val="00A931C7"/>
    <w:rsid w:val="00AA36AC"/>
    <w:rsid w:val="00AC2D8B"/>
    <w:rsid w:val="00AD2DEC"/>
    <w:rsid w:val="00B14C2D"/>
    <w:rsid w:val="00B27425"/>
    <w:rsid w:val="00B505F3"/>
    <w:rsid w:val="00B51B3B"/>
    <w:rsid w:val="00B5365B"/>
    <w:rsid w:val="00B61010"/>
    <w:rsid w:val="00B637C7"/>
    <w:rsid w:val="00B77267"/>
    <w:rsid w:val="00B80EDB"/>
    <w:rsid w:val="00BA37E1"/>
    <w:rsid w:val="00BB15C6"/>
    <w:rsid w:val="00BC1AFA"/>
    <w:rsid w:val="00BE66EC"/>
    <w:rsid w:val="00C069B9"/>
    <w:rsid w:val="00C10178"/>
    <w:rsid w:val="00C107C4"/>
    <w:rsid w:val="00C12B7F"/>
    <w:rsid w:val="00C145A9"/>
    <w:rsid w:val="00C25F40"/>
    <w:rsid w:val="00C344F3"/>
    <w:rsid w:val="00C35F87"/>
    <w:rsid w:val="00C45E21"/>
    <w:rsid w:val="00C65C5E"/>
    <w:rsid w:val="00C6752A"/>
    <w:rsid w:val="00C72124"/>
    <w:rsid w:val="00C75BCF"/>
    <w:rsid w:val="00C83CCB"/>
    <w:rsid w:val="00C879BB"/>
    <w:rsid w:val="00CB18A7"/>
    <w:rsid w:val="00CB7499"/>
    <w:rsid w:val="00CC32DE"/>
    <w:rsid w:val="00CE414D"/>
    <w:rsid w:val="00CF744B"/>
    <w:rsid w:val="00D00FDA"/>
    <w:rsid w:val="00D25941"/>
    <w:rsid w:val="00D36CE7"/>
    <w:rsid w:val="00D453CE"/>
    <w:rsid w:val="00D47B9E"/>
    <w:rsid w:val="00D57E65"/>
    <w:rsid w:val="00D6558B"/>
    <w:rsid w:val="00D84E4E"/>
    <w:rsid w:val="00DA38A0"/>
    <w:rsid w:val="00DB5B9C"/>
    <w:rsid w:val="00DC0117"/>
    <w:rsid w:val="00DC0E88"/>
    <w:rsid w:val="00DC18D3"/>
    <w:rsid w:val="00DC312A"/>
    <w:rsid w:val="00DC7D09"/>
    <w:rsid w:val="00DE35FC"/>
    <w:rsid w:val="00DF4360"/>
    <w:rsid w:val="00E02819"/>
    <w:rsid w:val="00E0421D"/>
    <w:rsid w:val="00E10694"/>
    <w:rsid w:val="00E166DA"/>
    <w:rsid w:val="00E17B93"/>
    <w:rsid w:val="00E46347"/>
    <w:rsid w:val="00E5014C"/>
    <w:rsid w:val="00E56CAA"/>
    <w:rsid w:val="00E61098"/>
    <w:rsid w:val="00E6236E"/>
    <w:rsid w:val="00E7251A"/>
    <w:rsid w:val="00EA37BA"/>
    <w:rsid w:val="00EA5F59"/>
    <w:rsid w:val="00EA6609"/>
    <w:rsid w:val="00EC4295"/>
    <w:rsid w:val="00EC5215"/>
    <w:rsid w:val="00F06CD0"/>
    <w:rsid w:val="00F15E56"/>
    <w:rsid w:val="00F2627F"/>
    <w:rsid w:val="00F270B8"/>
    <w:rsid w:val="00F33846"/>
    <w:rsid w:val="00F33E89"/>
    <w:rsid w:val="00F468DC"/>
    <w:rsid w:val="00F53D49"/>
    <w:rsid w:val="00F561F4"/>
    <w:rsid w:val="00F61745"/>
    <w:rsid w:val="00F72E92"/>
    <w:rsid w:val="00F8489C"/>
    <w:rsid w:val="00F90162"/>
    <w:rsid w:val="00F90B3E"/>
    <w:rsid w:val="00F92E86"/>
    <w:rsid w:val="00FA556E"/>
    <w:rsid w:val="00FB5531"/>
    <w:rsid w:val="00FC188A"/>
    <w:rsid w:val="00FD4A06"/>
    <w:rsid w:val="00FD4C65"/>
    <w:rsid w:val="00FD5F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3751E"/>
  <w15:chartTrackingRefBased/>
  <w15:docId w15:val="{E6C01455-DAA1-C64E-8B86-5EA0DD09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14C"/>
  </w:style>
  <w:style w:type="paragraph" w:styleId="Heading1">
    <w:name w:val="heading 1"/>
    <w:basedOn w:val="Normal"/>
    <w:next w:val="Normal"/>
    <w:link w:val="Heading1Char"/>
    <w:uiPriority w:val="9"/>
    <w:qFormat/>
    <w:rsid w:val="00A8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27A"/>
    <w:rPr>
      <w:rFonts w:eastAsiaTheme="majorEastAsia" w:cstheme="majorBidi"/>
      <w:color w:val="272727" w:themeColor="text1" w:themeTint="D8"/>
    </w:rPr>
  </w:style>
  <w:style w:type="paragraph" w:styleId="Title">
    <w:name w:val="Title"/>
    <w:basedOn w:val="Normal"/>
    <w:next w:val="Normal"/>
    <w:link w:val="TitleChar"/>
    <w:uiPriority w:val="10"/>
    <w:qFormat/>
    <w:rsid w:val="00A8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27A"/>
    <w:pPr>
      <w:spacing w:before="160"/>
      <w:jc w:val="center"/>
    </w:pPr>
    <w:rPr>
      <w:i/>
      <w:iCs/>
      <w:color w:val="404040" w:themeColor="text1" w:themeTint="BF"/>
    </w:rPr>
  </w:style>
  <w:style w:type="character" w:customStyle="1" w:styleId="QuoteChar">
    <w:name w:val="Quote Char"/>
    <w:basedOn w:val="DefaultParagraphFont"/>
    <w:link w:val="Quote"/>
    <w:uiPriority w:val="29"/>
    <w:rsid w:val="00A8327A"/>
    <w:rPr>
      <w:i/>
      <w:iCs/>
      <w:color w:val="404040" w:themeColor="text1" w:themeTint="BF"/>
    </w:rPr>
  </w:style>
  <w:style w:type="paragraph" w:styleId="ListParagraph">
    <w:name w:val="List Paragraph"/>
    <w:basedOn w:val="Normal"/>
    <w:uiPriority w:val="34"/>
    <w:qFormat/>
    <w:rsid w:val="00A8327A"/>
    <w:pPr>
      <w:ind w:left="720"/>
      <w:contextualSpacing/>
    </w:pPr>
  </w:style>
  <w:style w:type="character" w:styleId="IntenseEmphasis">
    <w:name w:val="Intense Emphasis"/>
    <w:basedOn w:val="DefaultParagraphFont"/>
    <w:uiPriority w:val="21"/>
    <w:qFormat/>
    <w:rsid w:val="00A8327A"/>
    <w:rPr>
      <w:i/>
      <w:iCs/>
      <w:color w:val="0F4761" w:themeColor="accent1" w:themeShade="BF"/>
    </w:rPr>
  </w:style>
  <w:style w:type="paragraph" w:styleId="IntenseQuote">
    <w:name w:val="Intense Quote"/>
    <w:basedOn w:val="Normal"/>
    <w:next w:val="Normal"/>
    <w:link w:val="IntenseQuoteChar"/>
    <w:uiPriority w:val="30"/>
    <w:qFormat/>
    <w:rsid w:val="00A8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27A"/>
    <w:rPr>
      <w:i/>
      <w:iCs/>
      <w:color w:val="0F4761" w:themeColor="accent1" w:themeShade="BF"/>
    </w:rPr>
  </w:style>
  <w:style w:type="character" w:styleId="IntenseReference">
    <w:name w:val="Intense Reference"/>
    <w:basedOn w:val="DefaultParagraphFont"/>
    <w:uiPriority w:val="32"/>
    <w:qFormat/>
    <w:rsid w:val="00A8327A"/>
    <w:rPr>
      <w:b/>
      <w:bCs/>
      <w:smallCaps/>
      <w:color w:val="0F4761" w:themeColor="accent1" w:themeShade="BF"/>
      <w:spacing w:val="5"/>
    </w:rPr>
  </w:style>
  <w:style w:type="paragraph" w:styleId="NormalWeb">
    <w:name w:val="Normal (Web)"/>
    <w:basedOn w:val="Normal"/>
    <w:uiPriority w:val="99"/>
    <w:semiHidden/>
    <w:unhideWhenUsed/>
    <w:rsid w:val="008D046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2A67A3"/>
    <w:rPr>
      <w:sz w:val="16"/>
      <w:szCs w:val="16"/>
    </w:rPr>
  </w:style>
  <w:style w:type="paragraph" w:styleId="CommentText">
    <w:name w:val="annotation text"/>
    <w:basedOn w:val="Normal"/>
    <w:link w:val="CommentTextChar"/>
    <w:uiPriority w:val="99"/>
    <w:unhideWhenUsed/>
    <w:rsid w:val="002A67A3"/>
    <w:pPr>
      <w:spacing w:line="240" w:lineRule="auto"/>
    </w:pPr>
    <w:rPr>
      <w:sz w:val="20"/>
      <w:szCs w:val="20"/>
    </w:rPr>
  </w:style>
  <w:style w:type="character" w:customStyle="1" w:styleId="CommentTextChar">
    <w:name w:val="Comment Text Char"/>
    <w:basedOn w:val="DefaultParagraphFont"/>
    <w:link w:val="CommentText"/>
    <w:uiPriority w:val="99"/>
    <w:rsid w:val="002A67A3"/>
    <w:rPr>
      <w:sz w:val="20"/>
      <w:szCs w:val="20"/>
    </w:rPr>
  </w:style>
  <w:style w:type="paragraph" w:styleId="CommentSubject">
    <w:name w:val="annotation subject"/>
    <w:basedOn w:val="CommentText"/>
    <w:next w:val="CommentText"/>
    <w:link w:val="CommentSubjectChar"/>
    <w:uiPriority w:val="99"/>
    <w:semiHidden/>
    <w:unhideWhenUsed/>
    <w:rsid w:val="002A67A3"/>
    <w:rPr>
      <w:b/>
      <w:bCs/>
    </w:rPr>
  </w:style>
  <w:style w:type="character" w:customStyle="1" w:styleId="CommentSubjectChar">
    <w:name w:val="Comment Subject Char"/>
    <w:basedOn w:val="CommentTextChar"/>
    <w:link w:val="CommentSubject"/>
    <w:uiPriority w:val="99"/>
    <w:semiHidden/>
    <w:rsid w:val="002A67A3"/>
    <w:rPr>
      <w:b/>
      <w:bCs/>
      <w:sz w:val="20"/>
      <w:szCs w:val="20"/>
    </w:rPr>
  </w:style>
  <w:style w:type="paragraph" w:styleId="EndnoteText">
    <w:name w:val="endnote text"/>
    <w:basedOn w:val="Normal"/>
    <w:link w:val="EndnoteTextChar"/>
    <w:uiPriority w:val="99"/>
    <w:semiHidden/>
    <w:unhideWhenUsed/>
    <w:rsid w:val="00C25F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5F40"/>
    <w:rPr>
      <w:sz w:val="20"/>
      <w:szCs w:val="20"/>
    </w:rPr>
  </w:style>
  <w:style w:type="character" w:styleId="EndnoteReference">
    <w:name w:val="endnote reference"/>
    <w:basedOn w:val="DefaultParagraphFont"/>
    <w:uiPriority w:val="99"/>
    <w:semiHidden/>
    <w:unhideWhenUsed/>
    <w:rsid w:val="00C25F40"/>
    <w:rPr>
      <w:vertAlign w:val="superscript"/>
    </w:rPr>
  </w:style>
  <w:style w:type="character" w:styleId="Hyperlink">
    <w:name w:val="Hyperlink"/>
    <w:basedOn w:val="DefaultParagraphFont"/>
    <w:uiPriority w:val="99"/>
    <w:unhideWhenUsed/>
    <w:rsid w:val="00636DED"/>
    <w:rPr>
      <w:color w:val="0000FF"/>
      <w:u w:val="single"/>
    </w:rPr>
  </w:style>
  <w:style w:type="paragraph" w:styleId="FootnoteText">
    <w:name w:val="footnote text"/>
    <w:basedOn w:val="Normal"/>
    <w:link w:val="FootnoteTextChar"/>
    <w:uiPriority w:val="99"/>
    <w:semiHidden/>
    <w:unhideWhenUsed/>
    <w:rsid w:val="00636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DED"/>
    <w:rPr>
      <w:sz w:val="20"/>
      <w:szCs w:val="20"/>
    </w:rPr>
  </w:style>
  <w:style w:type="character" w:styleId="FootnoteReference">
    <w:name w:val="footnote reference"/>
    <w:basedOn w:val="DefaultParagraphFont"/>
    <w:uiPriority w:val="99"/>
    <w:semiHidden/>
    <w:unhideWhenUsed/>
    <w:rsid w:val="00636DED"/>
    <w:rPr>
      <w:vertAlign w:val="superscript"/>
    </w:rPr>
  </w:style>
  <w:style w:type="paragraph" w:styleId="Revision">
    <w:name w:val="Revision"/>
    <w:hidden/>
    <w:uiPriority w:val="99"/>
    <w:semiHidden/>
    <w:rsid w:val="0001066E"/>
    <w:pPr>
      <w:spacing w:after="0" w:line="240" w:lineRule="auto"/>
    </w:pPr>
  </w:style>
  <w:style w:type="character" w:styleId="UnresolvedMention">
    <w:name w:val="Unresolved Mention"/>
    <w:basedOn w:val="DefaultParagraphFont"/>
    <w:uiPriority w:val="99"/>
    <w:semiHidden/>
    <w:unhideWhenUsed/>
    <w:rsid w:val="008411A2"/>
    <w:rPr>
      <w:color w:val="605E5C"/>
      <w:shd w:val="clear" w:color="auto" w:fill="E1DFDD"/>
    </w:rPr>
  </w:style>
  <w:style w:type="character" w:styleId="FollowedHyperlink">
    <w:name w:val="FollowedHyperlink"/>
    <w:basedOn w:val="DefaultParagraphFont"/>
    <w:uiPriority w:val="99"/>
    <w:semiHidden/>
    <w:unhideWhenUsed/>
    <w:rsid w:val="00DB5B9C"/>
    <w:rPr>
      <w:color w:val="96607D" w:themeColor="followedHyperlink"/>
      <w:u w:val="single"/>
    </w:rPr>
  </w:style>
  <w:style w:type="paragraph" w:styleId="PlainText">
    <w:name w:val="Plain Text"/>
    <w:basedOn w:val="Normal"/>
    <w:link w:val="PlainTextChar"/>
    <w:uiPriority w:val="99"/>
    <w:unhideWhenUsed/>
    <w:rsid w:val="00002F9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lainTextChar">
    <w:name w:val="Plain Text Char"/>
    <w:basedOn w:val="DefaultParagraphFont"/>
    <w:link w:val="PlainText"/>
    <w:uiPriority w:val="99"/>
    <w:rsid w:val="00002F9D"/>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15E56"/>
  </w:style>
  <w:style w:type="paragraph" w:styleId="NoSpacing">
    <w:name w:val="No Spacing"/>
    <w:uiPriority w:val="1"/>
    <w:qFormat/>
    <w:rsid w:val="00F15E56"/>
    <w:pPr>
      <w:spacing w:after="0" w:line="240" w:lineRule="auto"/>
    </w:pPr>
  </w:style>
  <w:style w:type="character" w:styleId="Strong">
    <w:name w:val="Strong"/>
    <w:basedOn w:val="DefaultParagraphFont"/>
    <w:uiPriority w:val="22"/>
    <w:qFormat/>
    <w:rsid w:val="00F15E56"/>
    <w:rPr>
      <w:b/>
      <w:bCs/>
    </w:rPr>
  </w:style>
  <w:style w:type="paragraph" w:styleId="Header">
    <w:name w:val="header"/>
    <w:basedOn w:val="Normal"/>
    <w:link w:val="HeaderChar"/>
    <w:uiPriority w:val="99"/>
    <w:unhideWhenUsed/>
    <w:rsid w:val="00DA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8A0"/>
  </w:style>
  <w:style w:type="paragraph" w:styleId="Footer">
    <w:name w:val="footer"/>
    <w:basedOn w:val="Normal"/>
    <w:link w:val="FooterChar"/>
    <w:uiPriority w:val="99"/>
    <w:unhideWhenUsed/>
    <w:rsid w:val="00DA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8A0"/>
  </w:style>
  <w:style w:type="character" w:styleId="PageNumber">
    <w:name w:val="page number"/>
    <w:basedOn w:val="DefaultParagraphFont"/>
    <w:uiPriority w:val="99"/>
    <w:semiHidden/>
    <w:unhideWhenUsed/>
    <w:rsid w:val="00D00FDA"/>
  </w:style>
  <w:style w:type="paragraph" w:customStyle="1" w:styleId="Title1">
    <w:name w:val="Title1"/>
    <w:basedOn w:val="Normal"/>
    <w:qFormat/>
    <w:rsid w:val="001B1DB1"/>
    <w:rPr>
      <w:rFonts w:ascii="Arial" w:hAnsi="Arial" w:cs="Arial"/>
      <w:b/>
      <w:bCs/>
      <w:color w:val="005371"/>
      <w:sz w:val="48"/>
      <w:szCs w:val="48"/>
    </w:rPr>
  </w:style>
  <w:style w:type="paragraph" w:customStyle="1" w:styleId="INTROTEXT">
    <w:name w:val="INTRO TEXT"/>
    <w:basedOn w:val="Normal"/>
    <w:qFormat/>
    <w:rsid w:val="001B1DB1"/>
    <w:rPr>
      <w:rFonts w:ascii="Arial" w:hAnsi="Arial" w:cs="Arial"/>
      <w:b/>
      <w:bCs/>
      <w:color w:val="005371"/>
    </w:rPr>
  </w:style>
  <w:style w:type="paragraph" w:customStyle="1" w:styleId="TEXT">
    <w:name w:val="TEXT"/>
    <w:basedOn w:val="Normal"/>
    <w:qFormat/>
    <w:rsid w:val="001B1DB1"/>
    <w:rPr>
      <w:rFonts w:ascii="Arial" w:hAnsi="Arial" w:cs="Arial"/>
      <w:color w:val="30393E"/>
    </w:rPr>
  </w:style>
  <w:style w:type="paragraph" w:customStyle="1" w:styleId="SUBHEADING1">
    <w:name w:val="SUB HEADING 1"/>
    <w:basedOn w:val="Normal"/>
    <w:qFormat/>
    <w:rsid w:val="001B1DB1"/>
    <w:rPr>
      <w:rFonts w:ascii="Arial" w:hAnsi="Arial" w:cs="Arial"/>
      <w:b/>
      <w:bCs/>
      <w:color w:val="005371"/>
      <w:sz w:val="32"/>
      <w:szCs w:val="32"/>
    </w:rPr>
  </w:style>
  <w:style w:type="paragraph" w:customStyle="1" w:styleId="SUBHEADING2">
    <w:name w:val="SUB HEADING 2"/>
    <w:basedOn w:val="Normal"/>
    <w:qFormat/>
    <w:rsid w:val="001B1DB1"/>
    <w:rPr>
      <w:rFonts w:ascii="Arial" w:hAnsi="Arial" w:cs="Arial"/>
      <w:b/>
      <w:bCs/>
      <w:color w:val="C6C427"/>
    </w:rPr>
  </w:style>
  <w:style w:type="paragraph" w:customStyle="1" w:styleId="BULLETS">
    <w:name w:val="BULLETS"/>
    <w:basedOn w:val="ListParagraph"/>
    <w:qFormat/>
    <w:rsid w:val="001B1DB1"/>
    <w:pPr>
      <w:numPr>
        <w:numId w:val="1"/>
      </w:numPr>
    </w:pPr>
    <w:rPr>
      <w:rFonts w:ascii="Arial" w:hAnsi="Arial" w:cs="Arial"/>
      <w:color w:val="30393E"/>
    </w:rPr>
  </w:style>
  <w:style w:type="paragraph" w:customStyle="1" w:styleId="QUOTES">
    <w:name w:val="QUOTES"/>
    <w:basedOn w:val="PlainText"/>
    <w:qFormat/>
    <w:rsid w:val="001B1DB1"/>
    <w:pPr>
      <w:spacing w:before="0" w:beforeAutospacing="0" w:after="0" w:afterAutospacing="0"/>
      <w:ind w:left="1440"/>
    </w:pPr>
    <w:rPr>
      <w:rFonts w:ascii="Arial" w:hAnsi="Arial" w:cs="Arial"/>
      <w:i/>
      <w:iCs/>
      <w:noProof/>
      <w:color w:val="30393E"/>
      <w14:ligatures w14:val="standardContextual"/>
    </w:rPr>
  </w:style>
  <w:style w:type="paragraph" w:customStyle="1" w:styleId="SUBHEADING3">
    <w:name w:val="SUB HEADING 3"/>
    <w:basedOn w:val="Normal"/>
    <w:qFormat/>
    <w:rsid w:val="001B1DB1"/>
    <w:rPr>
      <w:rFonts w:ascii="Arial" w:hAnsi="Arial" w:cs="Arial"/>
      <w:b/>
      <w:bCs/>
      <w:color w:val="005371"/>
    </w:rPr>
  </w:style>
  <w:style w:type="paragraph" w:customStyle="1" w:styleId="APPENDIXTEXT">
    <w:name w:val="APPENDIX TEXT"/>
    <w:basedOn w:val="Normal"/>
    <w:qFormat/>
    <w:rsid w:val="001B1DB1"/>
    <w:rPr>
      <w:rFonts w:ascii="Arial" w:hAnsi="Arial" w:cs="Arial"/>
      <w:color w:val="30393E"/>
    </w:rPr>
  </w:style>
  <w:style w:type="paragraph" w:customStyle="1" w:styleId="SIGNOFFTEXT">
    <w:name w:val="SIGN OFF TEXT"/>
    <w:basedOn w:val="Normal"/>
    <w:qFormat/>
    <w:rsid w:val="001B1DB1"/>
    <w:pPr>
      <w:autoSpaceDE w:val="0"/>
      <w:autoSpaceDN w:val="0"/>
      <w:adjustRightInd w:val="0"/>
      <w:spacing w:after="0" w:line="240" w:lineRule="auto"/>
    </w:pPr>
    <w:rPr>
      <w:rFonts w:ascii="Arial" w:hAnsi="Arial" w:cs="Arial"/>
      <w:color w:val="00537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143">
      <w:bodyDiv w:val="1"/>
      <w:marLeft w:val="0"/>
      <w:marRight w:val="0"/>
      <w:marTop w:val="0"/>
      <w:marBottom w:val="0"/>
      <w:divBdr>
        <w:top w:val="none" w:sz="0" w:space="0" w:color="auto"/>
        <w:left w:val="none" w:sz="0" w:space="0" w:color="auto"/>
        <w:bottom w:val="none" w:sz="0" w:space="0" w:color="auto"/>
        <w:right w:val="none" w:sz="0" w:space="0" w:color="auto"/>
      </w:divBdr>
    </w:div>
    <w:div w:id="1693022635">
      <w:bodyDiv w:val="1"/>
      <w:marLeft w:val="0"/>
      <w:marRight w:val="0"/>
      <w:marTop w:val="0"/>
      <w:marBottom w:val="0"/>
      <w:divBdr>
        <w:top w:val="none" w:sz="0" w:space="0" w:color="auto"/>
        <w:left w:val="none" w:sz="0" w:space="0" w:color="auto"/>
        <w:bottom w:val="none" w:sz="0" w:space="0" w:color="auto"/>
        <w:right w:val="none" w:sz="0" w:space="0" w:color="auto"/>
      </w:divBdr>
      <w:divsChild>
        <w:div w:id="1184713219">
          <w:marLeft w:val="0"/>
          <w:marRight w:val="0"/>
          <w:marTop w:val="0"/>
          <w:marBottom w:val="0"/>
          <w:divBdr>
            <w:top w:val="none" w:sz="0" w:space="0" w:color="auto"/>
            <w:left w:val="none" w:sz="0" w:space="0" w:color="auto"/>
            <w:bottom w:val="none" w:sz="0" w:space="0" w:color="auto"/>
            <w:right w:val="none" w:sz="0" w:space="0" w:color="auto"/>
          </w:divBdr>
          <w:divsChild>
            <w:div w:id="1613853919">
              <w:marLeft w:val="0"/>
              <w:marRight w:val="0"/>
              <w:marTop w:val="0"/>
              <w:marBottom w:val="0"/>
              <w:divBdr>
                <w:top w:val="none" w:sz="0" w:space="0" w:color="auto"/>
                <w:left w:val="none" w:sz="0" w:space="0" w:color="auto"/>
                <w:bottom w:val="none" w:sz="0" w:space="0" w:color="auto"/>
                <w:right w:val="none" w:sz="0" w:space="0" w:color="auto"/>
              </w:divBdr>
              <w:divsChild>
                <w:div w:id="1462069481">
                  <w:marLeft w:val="0"/>
                  <w:marRight w:val="0"/>
                  <w:marTop w:val="0"/>
                  <w:marBottom w:val="0"/>
                  <w:divBdr>
                    <w:top w:val="none" w:sz="0" w:space="0" w:color="auto"/>
                    <w:left w:val="none" w:sz="0" w:space="0" w:color="auto"/>
                    <w:bottom w:val="none" w:sz="0" w:space="0" w:color="auto"/>
                    <w:right w:val="none" w:sz="0" w:space="0" w:color="auto"/>
                  </w:divBdr>
                  <w:divsChild>
                    <w:div w:id="1050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qc.org.uk/about-us/transparency/external-reports-research/cpa-saf-revie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qc.org.uk/publications/review-cqcs-single-assessment-framework-and-its-implement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policy@vodg.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view-into-the-operational-effectiveness-of-the-care-quality-commission-full-report/review-into-the-operational-effectiveness-of-the-care-quality-commission-full-report" TargetMode="External"/><Relationship Id="rId5" Type="http://schemas.openxmlformats.org/officeDocument/2006/relationships/numbering" Target="numbering.xml"/><Relationship Id="rId15" Type="http://schemas.openxmlformats.org/officeDocument/2006/relationships/hyperlink" Target="http://www.vodg.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about-us/how-we-involve-you/consultations/improving-how-we-assess-and-rate-provi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a3d56c5-2c4b-4639-8090-01720d69c7a8" xsi:nil="true"/>
    <Image xmlns="ea81b3dc-3d72-4046-865a-3d19db8bad6d" xsi:nil="true"/>
    <lcf76f155ced4ddcb4097134ff3c332f xmlns="ea81b3dc-3d72-4046-865a-3d19db8bad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CC1BD42A45B41A5B5967B591196DB" ma:contentTypeVersion="16" ma:contentTypeDescription="Create a new document." ma:contentTypeScope="" ma:versionID="b68854e4ff2d0019ed1c8ddd60cc072c">
  <xsd:schema xmlns:xsd="http://www.w3.org/2001/XMLSchema" xmlns:xs="http://www.w3.org/2001/XMLSchema" xmlns:p="http://schemas.microsoft.com/office/2006/metadata/properties" xmlns:ns2="ea81b3dc-3d72-4046-865a-3d19db8bad6d" xmlns:ns3="1a3d56c5-2c4b-4639-8090-01720d69c7a8" targetNamespace="http://schemas.microsoft.com/office/2006/metadata/properties" ma:root="true" ma:fieldsID="989e35e3cc22f185c0064996a6a47056" ns2:_="" ns3:_="">
    <xsd:import namespace="ea81b3dc-3d72-4046-865a-3d19db8bad6d"/>
    <xsd:import namespace="1a3d56c5-2c4b-4639-8090-01720d69c7a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1b3dc-3d72-4046-865a-3d19db8ba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c5b7b9-d7b5-4877-9e00-7202219598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d56c5-2c4b-4639-8090-01720d69c7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3277a4-1b49-4203-8b45-07b404aaef6e}" ma:internalName="TaxCatchAll" ma:showField="CatchAllData" ma:web="1a3d56c5-2c4b-4639-8090-01720d69c7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4A087-F2FD-6B4E-91C5-832C533B0F8B}">
  <ds:schemaRefs>
    <ds:schemaRef ds:uri="http://schemas.openxmlformats.org/officeDocument/2006/bibliography"/>
  </ds:schemaRefs>
</ds:datastoreItem>
</file>

<file path=customXml/itemProps2.xml><?xml version="1.0" encoding="utf-8"?>
<ds:datastoreItem xmlns:ds="http://schemas.openxmlformats.org/officeDocument/2006/customXml" ds:itemID="{7B2B59C8-01BF-4865-86DB-AFF15CD63888}">
  <ds:schemaRefs>
    <ds:schemaRef ds:uri="http://schemas.microsoft.com/office/2006/metadata/properties"/>
    <ds:schemaRef ds:uri="http://schemas.microsoft.com/office/infopath/2007/PartnerControls"/>
    <ds:schemaRef ds:uri="1a3d56c5-2c4b-4639-8090-01720d69c7a8"/>
    <ds:schemaRef ds:uri="ea81b3dc-3d72-4046-865a-3d19db8bad6d"/>
  </ds:schemaRefs>
</ds:datastoreItem>
</file>

<file path=customXml/itemProps3.xml><?xml version="1.0" encoding="utf-8"?>
<ds:datastoreItem xmlns:ds="http://schemas.openxmlformats.org/officeDocument/2006/customXml" ds:itemID="{5D4C30D2-B92D-4CEF-B369-C3B492775E60}">
  <ds:schemaRefs>
    <ds:schemaRef ds:uri="http://schemas.microsoft.com/sharepoint/v3/contenttype/forms"/>
  </ds:schemaRefs>
</ds:datastoreItem>
</file>

<file path=customXml/itemProps4.xml><?xml version="1.0" encoding="utf-8"?>
<ds:datastoreItem xmlns:ds="http://schemas.openxmlformats.org/officeDocument/2006/customXml" ds:itemID="{1CBB442C-1CF2-4633-97E0-1CC46F4F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1b3dc-3d72-4046-865a-3d19db8bad6d"/>
    <ds:schemaRef ds:uri="1a3d56c5-2c4b-4639-8090-01720d69c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3265</Words>
  <Characters>17666</Characters>
  <Application>Microsoft Office Word</Application>
  <DocSecurity>0</DocSecurity>
  <Lines>304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Woodhouse</dc:creator>
  <cp:keywords/>
  <dc:description/>
  <cp:lastModifiedBy>Sarah Woodhouse</cp:lastModifiedBy>
  <cp:revision>2</cp:revision>
  <dcterms:created xsi:type="dcterms:W3CDTF">2025-12-16T15:39:00Z</dcterms:created>
  <dcterms:modified xsi:type="dcterms:W3CDTF">2025-12-16T15:39:00Z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0x010100601CC1BD42A45B41A5B5967B591196DB</vt:lpwstr>
  </property>
</Properties>
</file>